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34E5" w14:textId="3E1308AB" w:rsidR="00497190" w:rsidRDefault="003B58A4">
      <w:r>
        <w:rPr>
          <w:noProof/>
          <w:lang w:eastAsia="fr-FR"/>
        </w:rPr>
        <w:drawing>
          <wp:anchor distT="0" distB="0" distL="114300" distR="114300" simplePos="0" relativeHeight="251659264" behindDoc="1" locked="0" layoutInCell="1" allowOverlap="1" wp14:anchorId="7B4052B5" wp14:editId="56C13B1D">
            <wp:simplePos x="0" y="0"/>
            <wp:positionH relativeFrom="margin">
              <wp:align>left</wp:align>
            </wp:positionH>
            <wp:positionV relativeFrom="paragraph">
              <wp:posOffset>9525</wp:posOffset>
            </wp:positionV>
            <wp:extent cx="1704975" cy="878205"/>
            <wp:effectExtent l="0" t="0" r="9525" b="0"/>
            <wp:wrapTight wrapText="bothSides">
              <wp:wrapPolygon edited="0">
                <wp:start x="0" y="0"/>
                <wp:lineTo x="0" y="21085"/>
                <wp:lineTo x="21479" y="21085"/>
                <wp:lineTo x="21479" y="0"/>
                <wp:lineTo x="0" y="0"/>
              </wp:wrapPolygon>
            </wp:wrapTight>
            <wp:docPr id="571096354" name="Image 571096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BFC_grand_comple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4975" cy="878205"/>
                    </a:xfrm>
                    <a:prstGeom prst="rect">
                      <a:avLst/>
                    </a:prstGeom>
                  </pic:spPr>
                </pic:pic>
              </a:graphicData>
            </a:graphic>
            <wp14:sizeRelH relativeFrom="page">
              <wp14:pctWidth>0</wp14:pctWidth>
            </wp14:sizeRelH>
            <wp14:sizeRelV relativeFrom="page">
              <wp14:pctHeight>0</wp14:pctHeight>
            </wp14:sizeRelV>
          </wp:anchor>
        </w:drawing>
      </w:r>
    </w:p>
    <w:p w14:paraId="667505F6" w14:textId="77777777" w:rsidR="00CD45B7" w:rsidRDefault="00CD45B7"/>
    <w:p w14:paraId="3272A73A" w14:textId="77777777" w:rsidR="00CD45B7" w:rsidRDefault="00CD45B7" w:rsidP="00CD45B7">
      <w:pPr>
        <w:rPr>
          <w:rFonts w:ascii="Calibri" w:hAnsi="Calibri" w:cs="Calibri"/>
          <w:b/>
          <w:sz w:val="28"/>
          <w:szCs w:val="28"/>
        </w:rPr>
      </w:pPr>
    </w:p>
    <w:p w14:paraId="73863562" w14:textId="77777777" w:rsidR="00CD45B7" w:rsidRPr="00C31BAB" w:rsidRDefault="00CD45B7" w:rsidP="00CD45B7">
      <w:pPr>
        <w:jc w:val="center"/>
        <w:rPr>
          <w:rFonts w:ascii="Roboto" w:hAnsi="Roboto"/>
          <w:b/>
          <w:color w:val="7F7F7F" w:themeColor="text1" w:themeTint="80"/>
          <w:sz w:val="28"/>
          <w:szCs w:val="28"/>
        </w:rPr>
      </w:pPr>
    </w:p>
    <w:p w14:paraId="0A3CB5E2" w14:textId="0ED48B5C" w:rsidR="00255493" w:rsidRPr="0004460E" w:rsidRDefault="00612CDC" w:rsidP="007A37C5">
      <w:pPr>
        <w:autoSpaceDE w:val="0"/>
        <w:autoSpaceDN w:val="0"/>
        <w:adjustRightInd w:val="0"/>
        <w:spacing w:after="0" w:line="240" w:lineRule="auto"/>
        <w:jc w:val="center"/>
        <w:rPr>
          <w:rFonts w:cs="Verdana,Bold"/>
          <w:b/>
          <w:bCs/>
          <w:sz w:val="36"/>
          <w:szCs w:val="34"/>
        </w:rPr>
      </w:pPr>
      <w:r w:rsidRPr="0004460E">
        <w:rPr>
          <w:rFonts w:cs="Verdana,Bold"/>
          <w:b/>
          <w:bCs/>
          <w:sz w:val="36"/>
          <w:szCs w:val="34"/>
        </w:rPr>
        <w:t>Arrêté n°20</w:t>
      </w:r>
      <w:r w:rsidR="003B1270">
        <w:rPr>
          <w:rFonts w:cs="Verdana,Bold"/>
          <w:b/>
          <w:bCs/>
          <w:sz w:val="36"/>
          <w:szCs w:val="34"/>
        </w:rPr>
        <w:t>2</w:t>
      </w:r>
      <w:r w:rsidR="00B9357E">
        <w:rPr>
          <w:rFonts w:cs="Verdana,Bold"/>
          <w:b/>
          <w:bCs/>
          <w:sz w:val="36"/>
          <w:szCs w:val="34"/>
        </w:rPr>
        <w:t>4</w:t>
      </w:r>
      <w:r w:rsidR="003B1270">
        <w:rPr>
          <w:rFonts w:cs="Verdana,Bold"/>
          <w:b/>
          <w:bCs/>
          <w:sz w:val="36"/>
          <w:szCs w:val="34"/>
        </w:rPr>
        <w:t>-</w:t>
      </w:r>
      <w:r w:rsidR="00B9357E">
        <w:rPr>
          <w:rFonts w:cs="Verdana,Bold"/>
          <w:b/>
          <w:bCs/>
          <w:sz w:val="36"/>
          <w:szCs w:val="34"/>
        </w:rPr>
        <w:t>07</w:t>
      </w:r>
      <w:r w:rsidR="007A37C5" w:rsidRPr="0004460E">
        <w:rPr>
          <w:rFonts w:cs="Verdana,Bold"/>
          <w:b/>
          <w:bCs/>
          <w:sz w:val="36"/>
          <w:szCs w:val="34"/>
        </w:rPr>
        <w:t xml:space="preserve"> portant délégation de signature </w:t>
      </w:r>
    </w:p>
    <w:p w14:paraId="5E640CB2" w14:textId="2735DE3E" w:rsidR="00612CDC" w:rsidRDefault="00612CDC" w:rsidP="00612CDC">
      <w:pPr>
        <w:autoSpaceDE w:val="0"/>
        <w:autoSpaceDN w:val="0"/>
        <w:adjustRightInd w:val="0"/>
        <w:spacing w:after="0" w:line="240" w:lineRule="auto"/>
        <w:rPr>
          <w:rFonts w:ascii="Times New Roman" w:hAnsi="Times New Roman" w:cs="Times New Roman"/>
          <w:sz w:val="24"/>
          <w:szCs w:val="24"/>
        </w:rPr>
      </w:pPr>
    </w:p>
    <w:p w14:paraId="5D49E236" w14:textId="2AFBDDEF" w:rsidR="0004460E" w:rsidRPr="0004460E" w:rsidRDefault="00B3687E" w:rsidP="0004460E">
      <w:pPr>
        <w:autoSpaceDE w:val="0"/>
        <w:autoSpaceDN w:val="0"/>
        <w:adjustRightInd w:val="0"/>
        <w:spacing w:after="0" w:line="240" w:lineRule="auto"/>
        <w:jc w:val="center"/>
        <w:rPr>
          <w:rFonts w:cs="Times New Roman"/>
          <w:b/>
          <w:bCs/>
          <w:sz w:val="32"/>
          <w:szCs w:val="32"/>
        </w:rPr>
      </w:pPr>
      <w:r w:rsidRPr="00B3687E">
        <w:rPr>
          <w:rFonts w:cs="Times New Roman"/>
          <w:b/>
          <w:bCs/>
          <w:sz w:val="32"/>
          <w:szCs w:val="32"/>
        </w:rPr>
        <w:t>L’administrateur provisoire</w:t>
      </w:r>
      <w:r w:rsidR="0004460E" w:rsidRPr="0004460E">
        <w:rPr>
          <w:rFonts w:cs="Times New Roman"/>
          <w:b/>
          <w:bCs/>
          <w:sz w:val="32"/>
          <w:szCs w:val="32"/>
        </w:rPr>
        <w:t xml:space="preserve"> de la COMUE UBFC</w:t>
      </w:r>
    </w:p>
    <w:p w14:paraId="407B90A4" w14:textId="5F68B5D9" w:rsidR="0004460E" w:rsidRDefault="0004460E" w:rsidP="00612CDC">
      <w:pPr>
        <w:autoSpaceDE w:val="0"/>
        <w:autoSpaceDN w:val="0"/>
        <w:adjustRightInd w:val="0"/>
        <w:spacing w:after="0" w:line="240" w:lineRule="auto"/>
        <w:rPr>
          <w:rFonts w:cs="Times New Roman"/>
          <w:b/>
          <w:bCs/>
          <w:sz w:val="20"/>
          <w:szCs w:val="20"/>
        </w:rPr>
      </w:pPr>
    </w:p>
    <w:p w14:paraId="4F15309B" w14:textId="77777777" w:rsidR="0004460E" w:rsidRDefault="0004460E" w:rsidP="00612CDC">
      <w:pPr>
        <w:autoSpaceDE w:val="0"/>
        <w:autoSpaceDN w:val="0"/>
        <w:adjustRightInd w:val="0"/>
        <w:spacing w:after="0" w:line="240" w:lineRule="auto"/>
        <w:rPr>
          <w:rFonts w:cs="Times New Roman"/>
          <w:b/>
          <w:bCs/>
          <w:sz w:val="20"/>
          <w:szCs w:val="20"/>
        </w:rPr>
      </w:pPr>
    </w:p>
    <w:p w14:paraId="4E99822A"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le Code de l’Éducation, et notamment ses articles L718-8, L718-10, L951-3, R719-79, R719-80, R951-1, R951-2 ; D951-3 ;</w:t>
      </w:r>
    </w:p>
    <w:p w14:paraId="72237785"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le décret n° 2015-280 du 11 mars 2015 portant création de la communauté d'universités et établissements « université Bourgogne - Franche-Comté » et approbation de ses statuts ;</w:t>
      </w:r>
    </w:p>
    <w:p w14:paraId="55AD2998"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le décret n° 2018-100 du 14 février 2018 modifiant le décret n° 2015-280 du 11 mars 2015 portant création de la communauté d'universités et établissements « université Bourgogne - Franche-Comté » et approbation de ses statuts ;</w:t>
      </w:r>
    </w:p>
    <w:p w14:paraId="6F2184DB"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le décret n°2012-1246 du 7 novembre 2012 relatif à la gestion budgétaire et comptable publique, notamment ses articles 10 et 186 ;</w:t>
      </w:r>
    </w:p>
    <w:p w14:paraId="73F2C130"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l’arrêté du 7 octobre 2015 relatif aux conditions d'établissement, de conservation et de transmission sous forme dématérialisée des documents et pièces justificatives des opérations des organismes publics pris en application du décret n° 2012-1246 du 7 novembre 2012 relatif à la gestion budgétaire et comptable publique ;</w:t>
      </w:r>
    </w:p>
    <w:p w14:paraId="42EA438D"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l’instruction du directeur général des finances publiques du 12 juillet 2016 relative aux conditions de mise en œuvre de la dématérialisation au sein des organismes publics visés aux 4° à 6° de l'article 1 du décret du 7 novembre 2012 relatif à la gestion budgétaire et comptable publique (section Gestion comptable publique n°16-0010, NOR : FCPE1620275J) ;</w:t>
      </w:r>
    </w:p>
    <w:p w14:paraId="302E4E77"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l’arrêté du 24 juillet 2017 portant délégation de pouvoirs aux présidents et directeurs des établissements publics d'enseignement supérieur relevant du ministre chargé de l'enseignement supérieur en matière de recrutement et de gestion de certains agents du ministère de l'enseignement supérieur, de la recherche et de l’innovation ;</w:t>
      </w:r>
    </w:p>
    <w:p w14:paraId="7B8507B0"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l’arrêté du 10 février 2012 portant délégation de pouvoirs en matière de recrutement et de gestion de certains personnels enseignants des établissements publics d'enseignement supérieur et de recherche ;</w:t>
      </w:r>
    </w:p>
    <w:p w14:paraId="3984F0AF" w14:textId="77777777" w:rsidR="000F7ACD" w:rsidRPr="000F7ACD" w:rsidRDefault="000F7ACD" w:rsidP="000F7ACD">
      <w:pPr>
        <w:numPr>
          <w:ilvl w:val="0"/>
          <w:numId w:val="7"/>
        </w:numPr>
        <w:spacing w:after="0" w:line="240" w:lineRule="auto"/>
        <w:jc w:val="both"/>
        <w:rPr>
          <w:sz w:val="18"/>
          <w:szCs w:val="18"/>
        </w:rPr>
      </w:pPr>
      <w:r w:rsidRPr="000F7ACD">
        <w:rPr>
          <w:b/>
          <w:bCs/>
          <w:sz w:val="18"/>
          <w:szCs w:val="18"/>
        </w:rPr>
        <w:t>Vu</w:t>
      </w:r>
      <w:r w:rsidRPr="000F7ACD">
        <w:rPr>
          <w:sz w:val="18"/>
          <w:szCs w:val="18"/>
        </w:rPr>
        <w:t xml:space="preserve"> les statuts de la COMUE Université de Bourgogne Franche-Comté, et notamment ses articles 7 et 21 ;</w:t>
      </w:r>
    </w:p>
    <w:p w14:paraId="2217580A" w14:textId="737FBC73" w:rsidR="003A7857" w:rsidRPr="003B58A4" w:rsidRDefault="007A37C5" w:rsidP="001032D3">
      <w:pPr>
        <w:pStyle w:val="Paragraphedeliste"/>
        <w:numPr>
          <w:ilvl w:val="0"/>
          <w:numId w:val="7"/>
        </w:numPr>
        <w:autoSpaceDE w:val="0"/>
        <w:autoSpaceDN w:val="0"/>
        <w:adjustRightInd w:val="0"/>
        <w:spacing w:after="0" w:line="240" w:lineRule="auto"/>
        <w:jc w:val="both"/>
        <w:rPr>
          <w:rStyle w:val="markedcontent"/>
          <w:rFonts w:cs="Arial"/>
          <w:sz w:val="18"/>
          <w:szCs w:val="18"/>
        </w:rPr>
      </w:pPr>
      <w:r w:rsidRPr="003B58A4">
        <w:rPr>
          <w:rStyle w:val="markedcontent"/>
          <w:rFonts w:cs="Arial"/>
          <w:b/>
          <w:bCs/>
          <w:sz w:val="18"/>
          <w:szCs w:val="18"/>
        </w:rPr>
        <w:t>Vu</w:t>
      </w:r>
      <w:r w:rsidRPr="003B58A4">
        <w:rPr>
          <w:rStyle w:val="markedcontent"/>
          <w:rFonts w:cs="Arial"/>
          <w:sz w:val="18"/>
          <w:szCs w:val="18"/>
        </w:rPr>
        <w:t xml:space="preserve"> </w:t>
      </w:r>
      <w:r w:rsidR="003B1270" w:rsidRPr="003B58A4">
        <w:rPr>
          <w:rStyle w:val="markedcontent"/>
          <w:rFonts w:cs="Arial"/>
          <w:sz w:val="18"/>
          <w:szCs w:val="18"/>
        </w:rPr>
        <w:t xml:space="preserve">l’arrêté </w:t>
      </w:r>
      <w:r w:rsidR="00D606A7" w:rsidRPr="003B58A4">
        <w:rPr>
          <w:rStyle w:val="markedcontent"/>
          <w:rFonts w:cs="Arial"/>
          <w:sz w:val="18"/>
          <w:szCs w:val="18"/>
        </w:rPr>
        <w:t>portant nomination dans les fonctions d’administrateur provisoire d’UBFC</w:t>
      </w:r>
      <w:r w:rsidR="003B58A4" w:rsidRPr="003B58A4">
        <w:rPr>
          <w:rStyle w:val="markedcontent"/>
          <w:rFonts w:cs="Arial"/>
          <w:sz w:val="18"/>
          <w:szCs w:val="18"/>
        </w:rPr>
        <w:t xml:space="preserve"> en date du </w:t>
      </w:r>
      <w:r w:rsidR="00B215F3">
        <w:rPr>
          <w:rStyle w:val="markedcontent"/>
          <w:rFonts w:cs="Arial"/>
          <w:sz w:val="18"/>
          <w:szCs w:val="18"/>
        </w:rPr>
        <w:t xml:space="preserve">13 décembre </w:t>
      </w:r>
      <w:r w:rsidR="003B58A4" w:rsidRPr="003B58A4">
        <w:rPr>
          <w:rStyle w:val="markedcontent"/>
          <w:rFonts w:cs="Arial"/>
          <w:sz w:val="18"/>
          <w:szCs w:val="18"/>
        </w:rPr>
        <w:t>2023.</w:t>
      </w:r>
    </w:p>
    <w:p w14:paraId="42CF9B62" w14:textId="77777777" w:rsidR="000F7ACD" w:rsidRDefault="000F7ACD" w:rsidP="00612CDC">
      <w:pPr>
        <w:autoSpaceDE w:val="0"/>
        <w:autoSpaceDN w:val="0"/>
        <w:adjustRightInd w:val="0"/>
        <w:spacing w:after="0" w:line="240" w:lineRule="auto"/>
        <w:rPr>
          <w:rFonts w:ascii="Times New Roman" w:hAnsi="Times New Roman" w:cs="Times New Roman"/>
          <w:sz w:val="24"/>
          <w:szCs w:val="24"/>
        </w:rPr>
      </w:pPr>
    </w:p>
    <w:p w14:paraId="735C5FE8" w14:textId="77777777" w:rsidR="000F7ACD" w:rsidRDefault="000F7ACD" w:rsidP="00612CDC">
      <w:pPr>
        <w:autoSpaceDE w:val="0"/>
        <w:autoSpaceDN w:val="0"/>
        <w:adjustRightInd w:val="0"/>
        <w:spacing w:after="0" w:line="240" w:lineRule="auto"/>
        <w:rPr>
          <w:rFonts w:ascii="Times New Roman" w:hAnsi="Times New Roman" w:cs="Times New Roman"/>
          <w:sz w:val="24"/>
          <w:szCs w:val="24"/>
        </w:rPr>
      </w:pPr>
    </w:p>
    <w:p w14:paraId="4DD881BE" w14:textId="6F07E379" w:rsidR="0004460E" w:rsidRDefault="00612CDC" w:rsidP="00595DF9">
      <w:pPr>
        <w:autoSpaceDE w:val="0"/>
        <w:autoSpaceDN w:val="0"/>
        <w:adjustRightInd w:val="0"/>
        <w:spacing w:after="0" w:line="240" w:lineRule="auto"/>
        <w:jc w:val="center"/>
        <w:rPr>
          <w:rFonts w:ascii="Verdana,Bold" w:hAnsi="Verdana,Bold" w:cs="Verdana,Bold"/>
          <w:b/>
          <w:bCs/>
          <w:sz w:val="36"/>
          <w:szCs w:val="36"/>
        </w:rPr>
      </w:pPr>
      <w:r>
        <w:rPr>
          <w:rFonts w:ascii="Verdana,Bold" w:hAnsi="Verdana,Bold" w:cs="Verdana,Bold"/>
          <w:b/>
          <w:bCs/>
          <w:sz w:val="36"/>
          <w:szCs w:val="36"/>
        </w:rPr>
        <w:t>ARRÊTE</w:t>
      </w:r>
    </w:p>
    <w:p w14:paraId="1A5E847E" w14:textId="77777777" w:rsidR="00255493" w:rsidRPr="001032D3" w:rsidRDefault="00255493" w:rsidP="00612CDC">
      <w:pPr>
        <w:autoSpaceDE w:val="0"/>
        <w:autoSpaceDN w:val="0"/>
        <w:adjustRightInd w:val="0"/>
        <w:spacing w:after="0" w:line="240" w:lineRule="auto"/>
        <w:rPr>
          <w:rFonts w:cs="Verdana,Bold"/>
          <w:b/>
          <w:bCs/>
          <w:sz w:val="28"/>
          <w:szCs w:val="28"/>
        </w:rPr>
      </w:pPr>
    </w:p>
    <w:p w14:paraId="06CA7338"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1 : Portée</w:t>
      </w:r>
    </w:p>
    <w:p w14:paraId="1FB2DB74" w14:textId="77777777" w:rsidR="000F7ACD" w:rsidRPr="000F7ACD" w:rsidRDefault="000F7ACD" w:rsidP="000F7ACD">
      <w:pPr>
        <w:spacing w:after="0" w:line="240" w:lineRule="auto"/>
        <w:jc w:val="both"/>
        <w:rPr>
          <w:rFonts w:eastAsia="Calibri" w:cs="Times New Roman"/>
          <w:sz w:val="20"/>
        </w:rPr>
      </w:pPr>
    </w:p>
    <w:p w14:paraId="2B99ACC7" w14:textId="382D0989"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 xml:space="preserve">Une délégation de signature en matière administrative et financière est accordée aux bénéficiaires listés au présent article, personnels de catégorie A d’UBFC placés sous l’autorité </w:t>
      </w:r>
      <w:r w:rsidR="00996DDA">
        <w:rPr>
          <w:rFonts w:eastAsia="Calibri" w:cs="Times New Roman"/>
          <w:sz w:val="20"/>
        </w:rPr>
        <w:t>de l’administrateur provisoire</w:t>
      </w:r>
      <w:r w:rsidRPr="000F7ACD">
        <w:rPr>
          <w:rFonts w:eastAsia="Calibri" w:cs="Times New Roman"/>
          <w:sz w:val="20"/>
        </w:rPr>
        <w:t>, dans les limites et pour l'exercice des fonctions qui y sont précisées.</w:t>
      </w:r>
    </w:p>
    <w:p w14:paraId="41860900" w14:textId="77777777" w:rsidR="000F7ACD" w:rsidRPr="000F7ACD" w:rsidRDefault="000F7ACD" w:rsidP="000F7ACD">
      <w:pPr>
        <w:spacing w:after="0" w:line="240" w:lineRule="auto"/>
        <w:jc w:val="both"/>
        <w:rPr>
          <w:rFonts w:eastAsia="Calibri" w:cs="Times New Roman"/>
          <w:sz w:val="20"/>
        </w:rPr>
      </w:pPr>
    </w:p>
    <w:p w14:paraId="4E1417C2" w14:textId="63BD9E6A"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 xml:space="preserve">Dans les limites de </w:t>
      </w:r>
      <w:r w:rsidRPr="000F7ACD">
        <w:rPr>
          <w:rFonts w:eastAsia="Calibri" w:cs="Times New Roman"/>
          <w:b/>
          <w:bCs/>
          <w:sz w:val="20"/>
        </w:rPr>
        <w:t>l’Annexe 1</w:t>
      </w:r>
      <w:r w:rsidRPr="000F7ACD">
        <w:rPr>
          <w:rFonts w:eastAsia="Calibri" w:cs="Times New Roman"/>
          <w:sz w:val="20"/>
        </w:rPr>
        <w:t>, délégation de signature est donnée, par l</w:t>
      </w:r>
      <w:r w:rsidR="00996DDA">
        <w:rPr>
          <w:rFonts w:eastAsia="Calibri" w:cs="Times New Roman"/>
          <w:sz w:val="20"/>
        </w:rPr>
        <w:t xml:space="preserve">’administrateur provisoire </w:t>
      </w:r>
      <w:r w:rsidRPr="000F7ACD">
        <w:rPr>
          <w:rFonts w:eastAsia="Calibri" w:cs="Times New Roman"/>
          <w:sz w:val="20"/>
        </w:rPr>
        <w:t>d’UBFC, à :</w:t>
      </w:r>
    </w:p>
    <w:p w14:paraId="31574D55" w14:textId="2002C3BA" w:rsidR="00B215F3" w:rsidRDefault="00B215F3" w:rsidP="000F7ACD">
      <w:pPr>
        <w:numPr>
          <w:ilvl w:val="0"/>
          <w:numId w:val="9"/>
        </w:numPr>
        <w:spacing w:after="0" w:line="240" w:lineRule="auto"/>
        <w:contextualSpacing/>
        <w:jc w:val="both"/>
        <w:rPr>
          <w:rFonts w:eastAsia="Calibri" w:cs="Times New Roman"/>
          <w:sz w:val="20"/>
        </w:rPr>
      </w:pPr>
      <w:r>
        <w:rPr>
          <w:rFonts w:eastAsia="Calibri" w:cs="Times New Roman"/>
          <w:sz w:val="20"/>
        </w:rPr>
        <w:lastRenderedPageBreak/>
        <w:t>Monsieur Adnane ALI-AHMED, chargé du pilotage du projet Harmi et ISITE ;</w:t>
      </w:r>
    </w:p>
    <w:p w14:paraId="73E04C09" w14:textId="066D7CBF" w:rsidR="000F7ACD" w:rsidRPr="000F7ACD" w:rsidRDefault="000F7ACD" w:rsidP="000F7ACD">
      <w:pPr>
        <w:numPr>
          <w:ilvl w:val="0"/>
          <w:numId w:val="9"/>
        </w:numPr>
        <w:spacing w:after="0" w:line="240" w:lineRule="auto"/>
        <w:contextualSpacing/>
        <w:jc w:val="both"/>
        <w:rPr>
          <w:rFonts w:eastAsia="Calibri" w:cs="Times New Roman"/>
          <w:sz w:val="20"/>
        </w:rPr>
      </w:pPr>
      <w:r w:rsidRPr="000F7ACD">
        <w:rPr>
          <w:rFonts w:eastAsia="Calibri" w:cs="Times New Roman"/>
          <w:sz w:val="20"/>
        </w:rPr>
        <w:t>Madame Ayaa AMGHAR, ingénieur d’étude, chargée du pilotage et de la gestion financière sur les projets ANR générique, sur les projets financés par l’Union Européenne et sur les projets plate-forme ou financés par l’Etat ;</w:t>
      </w:r>
    </w:p>
    <w:p w14:paraId="7ED1D7F2" w14:textId="73F12F30" w:rsidR="000F7ACD" w:rsidRDefault="000F7ACD" w:rsidP="000F7ACD">
      <w:pPr>
        <w:numPr>
          <w:ilvl w:val="0"/>
          <w:numId w:val="9"/>
        </w:numPr>
        <w:spacing w:after="0" w:line="240" w:lineRule="auto"/>
        <w:contextualSpacing/>
        <w:jc w:val="both"/>
        <w:rPr>
          <w:rFonts w:eastAsia="Calibri" w:cs="Times New Roman"/>
          <w:sz w:val="20"/>
        </w:rPr>
      </w:pPr>
      <w:r w:rsidRPr="000F7ACD">
        <w:rPr>
          <w:rFonts w:eastAsia="Calibri" w:cs="Times New Roman"/>
          <w:sz w:val="20"/>
        </w:rPr>
        <w:t>Monsieur Loïc BERNARD, assistant ingénieur, chargé du pilotage et de la gestion financière sur les projets financés par la région Bourgogne-Franche-Comté ;</w:t>
      </w:r>
    </w:p>
    <w:p w14:paraId="06AC429F" w14:textId="6B8AFB27" w:rsidR="00F25290" w:rsidRPr="000F7ACD" w:rsidRDefault="00F25290" w:rsidP="00F25290">
      <w:pPr>
        <w:numPr>
          <w:ilvl w:val="0"/>
          <w:numId w:val="9"/>
        </w:numPr>
        <w:spacing w:after="0" w:line="240" w:lineRule="auto"/>
        <w:contextualSpacing/>
        <w:jc w:val="both"/>
        <w:rPr>
          <w:rFonts w:eastAsia="Calibri" w:cs="Times New Roman"/>
          <w:sz w:val="20"/>
        </w:rPr>
      </w:pPr>
      <w:r>
        <w:rPr>
          <w:rFonts w:eastAsia="Calibri" w:cs="Times New Roman"/>
          <w:sz w:val="20"/>
        </w:rPr>
        <w:t>Madame Catherine DAURELE</w:t>
      </w:r>
      <w:r w:rsidRPr="000F7ACD">
        <w:rPr>
          <w:rFonts w:eastAsia="Calibri" w:cs="Times New Roman"/>
          <w:sz w:val="20"/>
        </w:rPr>
        <w:t>, ingénieur d’étude, chargée du pilotage et de la gestion financière sur</w:t>
      </w:r>
      <w:r>
        <w:rPr>
          <w:rFonts w:eastAsia="Calibri" w:cs="Times New Roman"/>
          <w:sz w:val="20"/>
        </w:rPr>
        <w:t xml:space="preserve"> le Projet Investissement d’Avenir RITM (PIA) </w:t>
      </w:r>
    </w:p>
    <w:p w14:paraId="34D384E7" w14:textId="77777777" w:rsidR="000F7ACD" w:rsidRPr="000F7ACD" w:rsidRDefault="000F7ACD" w:rsidP="000F7ACD">
      <w:pPr>
        <w:numPr>
          <w:ilvl w:val="0"/>
          <w:numId w:val="9"/>
        </w:numPr>
        <w:spacing w:after="0" w:line="240" w:lineRule="auto"/>
        <w:contextualSpacing/>
        <w:jc w:val="both"/>
        <w:rPr>
          <w:rFonts w:eastAsia="Calibri" w:cs="Times New Roman"/>
          <w:sz w:val="20"/>
        </w:rPr>
      </w:pPr>
      <w:r w:rsidRPr="000F7ACD">
        <w:rPr>
          <w:rFonts w:eastAsia="Calibri" w:cs="Times New Roman"/>
          <w:sz w:val="20"/>
        </w:rPr>
        <w:t>Madame Diana MECHAYMECH, assistante ingénieur, chargée du pilotage et de la gestion financière du Projet Investissement d’Avenir (PIA) EIPHI ;</w:t>
      </w:r>
    </w:p>
    <w:p w14:paraId="319E68D6" w14:textId="30C78540" w:rsidR="000F7ACD" w:rsidRDefault="000F7ACD" w:rsidP="000F7ACD">
      <w:pPr>
        <w:numPr>
          <w:ilvl w:val="0"/>
          <w:numId w:val="9"/>
        </w:numPr>
        <w:spacing w:after="0" w:line="240" w:lineRule="auto"/>
        <w:contextualSpacing/>
        <w:jc w:val="both"/>
        <w:rPr>
          <w:rFonts w:eastAsia="Calibri" w:cs="Times New Roman"/>
          <w:sz w:val="20"/>
        </w:rPr>
      </w:pPr>
      <w:r w:rsidRPr="000F7ACD">
        <w:rPr>
          <w:rFonts w:eastAsia="Calibri" w:cs="Times New Roman"/>
          <w:sz w:val="20"/>
        </w:rPr>
        <w:t>Madame Elodie MIGUEL, ingénieur d’études, chargée du pilotage et de la gestion financière du Projet Investissement d’Avenir (PIA) ISITE ;</w:t>
      </w:r>
    </w:p>
    <w:p w14:paraId="714FA9F6" w14:textId="6CEB3C67" w:rsidR="005B2A18" w:rsidRPr="000F7ACD" w:rsidRDefault="005B2A18" w:rsidP="000F7ACD">
      <w:pPr>
        <w:numPr>
          <w:ilvl w:val="0"/>
          <w:numId w:val="9"/>
        </w:numPr>
        <w:spacing w:after="0" w:line="240" w:lineRule="auto"/>
        <w:contextualSpacing/>
        <w:jc w:val="both"/>
        <w:rPr>
          <w:rFonts w:eastAsia="Calibri" w:cs="Times New Roman"/>
          <w:sz w:val="20"/>
        </w:rPr>
      </w:pPr>
      <w:r>
        <w:rPr>
          <w:rFonts w:eastAsia="Calibri" w:cs="Times New Roman"/>
          <w:sz w:val="20"/>
        </w:rPr>
        <w:t>Madame Pascaline PERSONNIER, ingénieur de recherche, chargée de la direction a</w:t>
      </w:r>
      <w:r w:rsidR="00F25290">
        <w:rPr>
          <w:rFonts w:eastAsia="Calibri" w:cs="Times New Roman"/>
          <w:sz w:val="20"/>
        </w:rPr>
        <w:t>dministrative et financière du P</w:t>
      </w:r>
      <w:r>
        <w:rPr>
          <w:rFonts w:eastAsia="Calibri" w:cs="Times New Roman"/>
          <w:sz w:val="20"/>
        </w:rPr>
        <w:t>rojet</w:t>
      </w:r>
      <w:r w:rsidR="00F25290">
        <w:rPr>
          <w:rFonts w:eastAsia="Calibri" w:cs="Times New Roman"/>
          <w:sz w:val="20"/>
        </w:rPr>
        <w:t xml:space="preserve"> Investissement d’Avenir</w:t>
      </w:r>
      <w:r>
        <w:rPr>
          <w:rFonts w:eastAsia="Calibri" w:cs="Times New Roman"/>
          <w:sz w:val="20"/>
        </w:rPr>
        <w:t xml:space="preserve"> RITM (PIA) ;</w:t>
      </w:r>
    </w:p>
    <w:p w14:paraId="23C94076" w14:textId="77777777" w:rsidR="000F7ACD" w:rsidRPr="000F7ACD" w:rsidRDefault="000F7ACD" w:rsidP="000F7ACD">
      <w:pPr>
        <w:numPr>
          <w:ilvl w:val="0"/>
          <w:numId w:val="9"/>
        </w:numPr>
        <w:spacing w:after="0" w:line="240" w:lineRule="auto"/>
        <w:contextualSpacing/>
        <w:jc w:val="both"/>
        <w:rPr>
          <w:rFonts w:eastAsia="Calibri" w:cs="Times New Roman"/>
          <w:sz w:val="20"/>
        </w:rPr>
      </w:pPr>
      <w:r w:rsidRPr="000F7ACD">
        <w:rPr>
          <w:rFonts w:eastAsia="Calibri" w:cs="Times New Roman"/>
          <w:sz w:val="20"/>
        </w:rPr>
        <w:t>Madame Elyse SUGNY, assistante ingénieur, chargée du pilotage et de la gestion financière du Projet Investissement d’Avenir (PIA) SFRI UBFC integrate ;</w:t>
      </w:r>
    </w:p>
    <w:p w14:paraId="7ABAAE7A" w14:textId="77777777" w:rsidR="000F7ACD" w:rsidRPr="000F7ACD" w:rsidRDefault="000F7ACD" w:rsidP="000F7ACD">
      <w:pPr>
        <w:spacing w:after="0" w:line="240" w:lineRule="auto"/>
        <w:jc w:val="both"/>
        <w:rPr>
          <w:rFonts w:eastAsia="Calibri" w:cs="Times New Roman"/>
          <w:sz w:val="20"/>
        </w:rPr>
      </w:pPr>
    </w:p>
    <w:p w14:paraId="66C486B0" w14:textId="77777777" w:rsidR="000F7ACD" w:rsidRPr="000F7ACD" w:rsidRDefault="000F7ACD" w:rsidP="000F7ACD">
      <w:pPr>
        <w:spacing w:after="0" w:line="240" w:lineRule="auto"/>
        <w:jc w:val="both"/>
        <w:rPr>
          <w:rFonts w:eastAsia="Calibri" w:cs="Times New Roman"/>
          <w:sz w:val="20"/>
        </w:rPr>
      </w:pPr>
    </w:p>
    <w:p w14:paraId="1C6FFE42"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2 : Habilitation</w:t>
      </w:r>
    </w:p>
    <w:p w14:paraId="0F79E82C" w14:textId="77777777" w:rsidR="000F7ACD" w:rsidRPr="000F7ACD" w:rsidRDefault="000F7ACD" w:rsidP="000F7ACD">
      <w:pPr>
        <w:spacing w:after="0" w:line="240" w:lineRule="auto"/>
        <w:jc w:val="both"/>
        <w:rPr>
          <w:rFonts w:eastAsia="Calibri" w:cs="Times New Roman"/>
          <w:sz w:val="20"/>
        </w:rPr>
      </w:pPr>
    </w:p>
    <w:p w14:paraId="52CC8A51"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Les délégations accordées emportent habilitation des bénéficiaires à effectuer les actes dématérialisés de gestion financière correspondants définis par l’annexe 1 de l’instruction du directeur général des finances publiques du 12 juillet 2016 relative aux conditions de mise en œuvre de la dématérialisation au sein des organismes publics visés aux 4° à 6° de l'article 1 du décret du 7 novembre 2012 relatif à la gestion budgétaire et comptable publique.</w:t>
      </w:r>
    </w:p>
    <w:p w14:paraId="0BE33752" w14:textId="77777777" w:rsidR="000F7ACD" w:rsidRPr="000F7ACD" w:rsidRDefault="000F7ACD" w:rsidP="000F7ACD">
      <w:pPr>
        <w:spacing w:after="0" w:line="240" w:lineRule="auto"/>
        <w:jc w:val="both"/>
        <w:rPr>
          <w:rFonts w:eastAsia="Calibri" w:cs="Times New Roman"/>
          <w:sz w:val="20"/>
        </w:rPr>
      </w:pPr>
    </w:p>
    <w:p w14:paraId="26CDFBDD" w14:textId="77777777" w:rsidR="000F7ACD" w:rsidRPr="000F7ACD" w:rsidRDefault="000F7ACD" w:rsidP="000F7ACD">
      <w:pPr>
        <w:spacing w:after="0" w:line="240" w:lineRule="auto"/>
        <w:jc w:val="both"/>
        <w:rPr>
          <w:rFonts w:eastAsia="Calibri" w:cs="Times New Roman"/>
          <w:sz w:val="20"/>
        </w:rPr>
      </w:pPr>
    </w:p>
    <w:p w14:paraId="4744142B"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3 : Empêchement</w:t>
      </w:r>
    </w:p>
    <w:p w14:paraId="19C68905" w14:textId="77777777" w:rsidR="000F7ACD" w:rsidRPr="000F7ACD" w:rsidRDefault="000F7ACD" w:rsidP="000F7ACD">
      <w:pPr>
        <w:spacing w:after="0" w:line="240" w:lineRule="auto"/>
        <w:jc w:val="both"/>
        <w:rPr>
          <w:rFonts w:eastAsia="Calibri" w:cs="Times New Roman"/>
          <w:sz w:val="20"/>
        </w:rPr>
      </w:pPr>
    </w:p>
    <w:p w14:paraId="70833EA9"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La délégation de signature accordée en cas d’empêchement d’un autre délégataire recouvre l’absence, l’empêchement ainsi que la vacance du poste.</w:t>
      </w:r>
    </w:p>
    <w:p w14:paraId="7607BBEC" w14:textId="77777777" w:rsidR="000F7ACD" w:rsidRPr="000F7ACD" w:rsidRDefault="000F7ACD" w:rsidP="000F7ACD">
      <w:pPr>
        <w:spacing w:after="0" w:line="240" w:lineRule="auto"/>
        <w:jc w:val="both"/>
        <w:rPr>
          <w:rFonts w:eastAsia="Calibri" w:cs="Times New Roman"/>
          <w:sz w:val="20"/>
        </w:rPr>
      </w:pPr>
    </w:p>
    <w:p w14:paraId="21C1478B" w14:textId="77777777" w:rsidR="000F7ACD" w:rsidRPr="000F7ACD" w:rsidRDefault="000F7ACD" w:rsidP="000F7ACD">
      <w:pPr>
        <w:spacing w:after="0" w:line="240" w:lineRule="auto"/>
        <w:jc w:val="both"/>
        <w:rPr>
          <w:rFonts w:eastAsia="Calibri" w:cs="Times New Roman"/>
          <w:sz w:val="20"/>
        </w:rPr>
      </w:pPr>
    </w:p>
    <w:p w14:paraId="0EE26E40"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4 : Accréditation</w:t>
      </w:r>
    </w:p>
    <w:p w14:paraId="1FAC3D0E" w14:textId="77777777" w:rsidR="000F7ACD" w:rsidRPr="000F7ACD" w:rsidRDefault="000F7ACD" w:rsidP="000F7ACD">
      <w:pPr>
        <w:spacing w:after="0" w:line="240" w:lineRule="auto"/>
        <w:jc w:val="both"/>
        <w:rPr>
          <w:rFonts w:eastAsia="Calibri" w:cs="Times New Roman"/>
          <w:sz w:val="20"/>
        </w:rPr>
      </w:pPr>
    </w:p>
    <w:p w14:paraId="2DAF1795"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En matière financière, les délégataires sont tenus de produire à l’agent comptable d’UBFC le formulaire complété permettant leur accréditation en application de l’arrêté ministériel du 25 juillet 2013 (NOR : BUDE1320177A) pris en application de l’article 10 du décret n° 2012-1246 du 7 novembre 2012.</w:t>
      </w:r>
    </w:p>
    <w:p w14:paraId="31286C46" w14:textId="77777777" w:rsidR="000F7ACD" w:rsidRPr="000F7ACD" w:rsidRDefault="000F7ACD" w:rsidP="000F7ACD">
      <w:pPr>
        <w:spacing w:after="0" w:line="240" w:lineRule="auto"/>
        <w:jc w:val="both"/>
        <w:rPr>
          <w:rFonts w:eastAsia="Calibri" w:cs="Times New Roman"/>
          <w:sz w:val="20"/>
        </w:rPr>
      </w:pPr>
    </w:p>
    <w:p w14:paraId="76CE754B"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 xml:space="preserve">Le modèle de formulaire figure aux </w:t>
      </w:r>
      <w:r w:rsidRPr="000F7ACD">
        <w:rPr>
          <w:rFonts w:eastAsia="Calibri" w:cs="Times New Roman"/>
          <w:b/>
          <w:bCs/>
          <w:sz w:val="20"/>
        </w:rPr>
        <w:t>annexes 2-1 à 2-7</w:t>
      </w:r>
      <w:r w:rsidRPr="000F7ACD">
        <w:rPr>
          <w:rFonts w:eastAsia="Calibri" w:cs="Times New Roman"/>
          <w:sz w:val="20"/>
        </w:rPr>
        <w:t>. Les délégataires certifient et signent ce modèle avant la publication du présent arrêté.</w:t>
      </w:r>
    </w:p>
    <w:p w14:paraId="6976C377" w14:textId="77777777" w:rsidR="000F7ACD" w:rsidRPr="000F7ACD" w:rsidRDefault="000F7ACD" w:rsidP="000F7ACD">
      <w:pPr>
        <w:spacing w:after="0" w:line="240" w:lineRule="auto"/>
        <w:jc w:val="both"/>
        <w:rPr>
          <w:rFonts w:eastAsia="Calibri" w:cs="Times New Roman"/>
          <w:sz w:val="20"/>
        </w:rPr>
      </w:pPr>
    </w:p>
    <w:p w14:paraId="0C35AAF0" w14:textId="77777777" w:rsidR="000F7ACD" w:rsidRPr="000F7ACD" w:rsidRDefault="000F7ACD" w:rsidP="000F7ACD">
      <w:pPr>
        <w:spacing w:after="0" w:line="240" w:lineRule="auto"/>
        <w:jc w:val="both"/>
        <w:rPr>
          <w:rFonts w:eastAsia="Calibri" w:cs="Times New Roman"/>
          <w:sz w:val="20"/>
        </w:rPr>
      </w:pPr>
    </w:p>
    <w:p w14:paraId="01EB7296"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5 : Publication</w:t>
      </w:r>
    </w:p>
    <w:p w14:paraId="40979D37" w14:textId="77777777" w:rsidR="000F7ACD" w:rsidRPr="000F7ACD" w:rsidRDefault="000F7ACD" w:rsidP="000F7ACD">
      <w:pPr>
        <w:spacing w:after="0" w:line="240" w:lineRule="auto"/>
        <w:jc w:val="both"/>
        <w:rPr>
          <w:rFonts w:eastAsia="Calibri" w:cs="Times New Roman"/>
          <w:sz w:val="20"/>
        </w:rPr>
      </w:pPr>
    </w:p>
    <w:p w14:paraId="13770DB8"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Le présent arrêté est soumis à publicité. Il sera publié dans le recueil des actes administratifs présenté sur le site internet de la COMUE Université Bourgogne Franche-Comté.</w:t>
      </w:r>
    </w:p>
    <w:p w14:paraId="595601F1" w14:textId="77777777" w:rsidR="000F7ACD" w:rsidRDefault="000F7ACD" w:rsidP="000F7ACD">
      <w:pPr>
        <w:spacing w:after="0" w:line="240" w:lineRule="auto"/>
        <w:jc w:val="both"/>
        <w:rPr>
          <w:rFonts w:eastAsia="Calibri" w:cs="Times New Roman"/>
          <w:sz w:val="20"/>
        </w:rPr>
      </w:pPr>
    </w:p>
    <w:p w14:paraId="539559EF" w14:textId="5D45D140" w:rsidR="000F7ACD" w:rsidRPr="000F7ACD" w:rsidRDefault="000F7ACD" w:rsidP="000F7ACD">
      <w:pPr>
        <w:spacing w:after="0" w:line="240" w:lineRule="auto"/>
        <w:jc w:val="both"/>
        <w:rPr>
          <w:rFonts w:eastAsia="Calibri" w:cs="Times New Roman"/>
          <w:sz w:val="20"/>
        </w:rPr>
      </w:pPr>
    </w:p>
    <w:p w14:paraId="23A8086F"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6 : Entrée en vigueur – durée</w:t>
      </w:r>
    </w:p>
    <w:p w14:paraId="00583F4E" w14:textId="77777777" w:rsidR="000F7ACD" w:rsidRPr="000F7ACD" w:rsidRDefault="000F7ACD" w:rsidP="000F7ACD">
      <w:pPr>
        <w:spacing w:after="0" w:line="240" w:lineRule="auto"/>
        <w:jc w:val="both"/>
        <w:rPr>
          <w:rFonts w:eastAsia="Calibri" w:cs="Times New Roman"/>
          <w:sz w:val="20"/>
        </w:rPr>
      </w:pPr>
    </w:p>
    <w:p w14:paraId="5481308F"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 xml:space="preserve">Les dispositions du présent arrêté prennent effet à compter de sa publication, après transmission à la Rectrice de la région académique de Bourgogne-Franche-Comté. Elles </w:t>
      </w:r>
      <w:r w:rsidRPr="000F7ACD">
        <w:rPr>
          <w:rFonts w:eastAsia="Calibri" w:cs="Times New Roman"/>
          <w:sz w:val="20"/>
        </w:rPr>
        <w:lastRenderedPageBreak/>
        <w:t>prendront fin, au plus tard, en même temps que le mandat du déléguant ou lorsque le délégataire aura quitté les fonctions ayant justifié l’octroi de la délégation.</w:t>
      </w:r>
    </w:p>
    <w:p w14:paraId="7B30B1A4" w14:textId="77777777" w:rsidR="000F7ACD" w:rsidRPr="000F7ACD" w:rsidRDefault="000F7ACD" w:rsidP="000F7ACD">
      <w:pPr>
        <w:spacing w:after="0" w:line="240" w:lineRule="auto"/>
        <w:jc w:val="both"/>
        <w:rPr>
          <w:rFonts w:eastAsia="Calibri" w:cs="Times New Roman"/>
          <w:sz w:val="20"/>
        </w:rPr>
      </w:pPr>
      <w:bookmarkStart w:id="0" w:name="_Hlk121727195"/>
      <w:r w:rsidRPr="000F7ACD">
        <w:rPr>
          <w:rFonts w:eastAsia="Calibri" w:cs="Times New Roman"/>
          <w:sz w:val="20"/>
        </w:rPr>
        <w:t xml:space="preserve">Cette délégation remplace toutes les délégations accordées antérieurement aux bénéficiaires visés à l’annexe 1. </w:t>
      </w:r>
    </w:p>
    <w:bookmarkEnd w:id="0"/>
    <w:p w14:paraId="161BEB0C" w14:textId="77777777" w:rsidR="000F7ACD" w:rsidRPr="000F7ACD" w:rsidRDefault="000F7ACD" w:rsidP="000F7ACD">
      <w:pPr>
        <w:spacing w:after="0" w:line="240" w:lineRule="auto"/>
        <w:jc w:val="both"/>
        <w:rPr>
          <w:rFonts w:eastAsia="Calibri" w:cs="Times New Roman"/>
          <w:sz w:val="20"/>
        </w:rPr>
      </w:pPr>
    </w:p>
    <w:p w14:paraId="4814F89C"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7 : Subdélégation</w:t>
      </w:r>
    </w:p>
    <w:p w14:paraId="67925CED" w14:textId="77777777" w:rsidR="000F7ACD" w:rsidRPr="000F7ACD" w:rsidRDefault="000F7ACD" w:rsidP="000F7ACD">
      <w:pPr>
        <w:spacing w:after="0" w:line="240" w:lineRule="auto"/>
        <w:jc w:val="both"/>
        <w:rPr>
          <w:rFonts w:eastAsia="Calibri" w:cs="Times New Roman"/>
          <w:sz w:val="20"/>
        </w:rPr>
      </w:pPr>
    </w:p>
    <w:p w14:paraId="7503CB48"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 xml:space="preserve">Les bénéficiaires de la présente délégation ne peuvent pas subdéléguer leur signature. La délégation est personnelle ; les changements de délégataire ou de délégant rendent caduques les délégations consenties. </w:t>
      </w:r>
    </w:p>
    <w:p w14:paraId="2D9A8B88" w14:textId="77777777" w:rsidR="000F7ACD" w:rsidRPr="000F7ACD" w:rsidRDefault="000F7ACD" w:rsidP="000F7ACD">
      <w:pPr>
        <w:spacing w:after="0" w:line="240" w:lineRule="auto"/>
        <w:jc w:val="both"/>
        <w:rPr>
          <w:rFonts w:eastAsia="Calibri" w:cs="Times New Roman"/>
          <w:sz w:val="20"/>
        </w:rPr>
      </w:pPr>
    </w:p>
    <w:p w14:paraId="1CE7BC59" w14:textId="77777777" w:rsidR="000F7ACD" w:rsidRPr="000F7ACD" w:rsidRDefault="000F7ACD" w:rsidP="000F7ACD">
      <w:pPr>
        <w:spacing w:after="0" w:line="240" w:lineRule="auto"/>
        <w:jc w:val="both"/>
        <w:rPr>
          <w:rFonts w:eastAsia="Calibri" w:cs="Times New Roman"/>
          <w:sz w:val="20"/>
        </w:rPr>
      </w:pPr>
    </w:p>
    <w:p w14:paraId="013150F1"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8 : Compte rendu</w:t>
      </w:r>
    </w:p>
    <w:p w14:paraId="5BFAE047" w14:textId="77777777" w:rsidR="000F7ACD" w:rsidRPr="000F7ACD" w:rsidRDefault="000F7ACD" w:rsidP="000F7ACD">
      <w:pPr>
        <w:spacing w:after="0" w:line="240" w:lineRule="auto"/>
        <w:jc w:val="both"/>
        <w:rPr>
          <w:rFonts w:eastAsia="Calibri" w:cs="Times New Roman"/>
          <w:sz w:val="20"/>
        </w:rPr>
      </w:pPr>
    </w:p>
    <w:p w14:paraId="427ADC82"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Les délégataires rendent compte au délégant, de manière bimestrielle, de l’utilisation qu’ils ont faite de la délégation consentie à leur endroit.</w:t>
      </w:r>
    </w:p>
    <w:p w14:paraId="7E6A4EED" w14:textId="77777777" w:rsidR="000F7ACD" w:rsidRPr="000F7ACD" w:rsidRDefault="000F7ACD" w:rsidP="000F7ACD">
      <w:pPr>
        <w:spacing w:after="0" w:line="240" w:lineRule="auto"/>
        <w:jc w:val="both"/>
        <w:rPr>
          <w:rFonts w:eastAsia="Calibri" w:cs="Times New Roman"/>
          <w:sz w:val="20"/>
        </w:rPr>
      </w:pPr>
    </w:p>
    <w:p w14:paraId="4F62C2EC" w14:textId="77777777" w:rsidR="000F7ACD" w:rsidRPr="000F7ACD" w:rsidRDefault="000F7ACD" w:rsidP="000F7ACD">
      <w:pPr>
        <w:spacing w:after="0" w:line="240" w:lineRule="auto"/>
        <w:jc w:val="both"/>
        <w:rPr>
          <w:rFonts w:eastAsia="Calibri" w:cs="Times New Roman"/>
          <w:sz w:val="20"/>
        </w:rPr>
      </w:pPr>
    </w:p>
    <w:p w14:paraId="1ADCB612" w14:textId="77777777" w:rsidR="000F7ACD" w:rsidRPr="000F7ACD" w:rsidRDefault="000F7ACD" w:rsidP="000F7ACD">
      <w:pPr>
        <w:pBdr>
          <w:bottom w:val="single" w:sz="4" w:space="1" w:color="auto"/>
        </w:pBdr>
        <w:spacing w:after="0" w:line="240" w:lineRule="auto"/>
        <w:jc w:val="both"/>
        <w:rPr>
          <w:rFonts w:eastAsia="Calibri" w:cs="Times New Roman"/>
          <w:b/>
          <w:sz w:val="20"/>
        </w:rPr>
      </w:pPr>
      <w:r w:rsidRPr="000F7ACD">
        <w:rPr>
          <w:rFonts w:eastAsia="Calibri" w:cs="Times New Roman"/>
          <w:b/>
          <w:sz w:val="20"/>
        </w:rPr>
        <w:t>Article 9 : Exécution</w:t>
      </w:r>
    </w:p>
    <w:p w14:paraId="20419E51" w14:textId="77777777" w:rsidR="000F7ACD" w:rsidRPr="000F7ACD" w:rsidRDefault="000F7ACD" w:rsidP="000F7ACD">
      <w:pPr>
        <w:spacing w:after="0" w:line="240" w:lineRule="auto"/>
        <w:jc w:val="both"/>
        <w:rPr>
          <w:rFonts w:eastAsia="Calibri" w:cs="Times New Roman"/>
          <w:sz w:val="20"/>
        </w:rPr>
      </w:pPr>
    </w:p>
    <w:p w14:paraId="106351BC"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La Direction Générale des Services et l’Agence Comptable de la COMUE Université de Bourgogne-Franche-Comté sont chargées, chacune en ce qui les concerne de l’exécution du présent arrêté.</w:t>
      </w:r>
    </w:p>
    <w:p w14:paraId="4D4357A3" w14:textId="77777777" w:rsidR="000F7ACD" w:rsidRPr="000F7ACD" w:rsidRDefault="000F7ACD" w:rsidP="000F7ACD">
      <w:pPr>
        <w:spacing w:after="0" w:line="240" w:lineRule="auto"/>
        <w:jc w:val="both"/>
        <w:rPr>
          <w:rFonts w:eastAsia="Calibri" w:cs="Times New Roman"/>
          <w:sz w:val="20"/>
        </w:rPr>
      </w:pPr>
    </w:p>
    <w:p w14:paraId="2B85E6DA" w14:textId="77777777" w:rsidR="000F7ACD" w:rsidRPr="000F7ACD" w:rsidRDefault="000F7ACD" w:rsidP="000F7ACD">
      <w:pPr>
        <w:spacing w:after="0" w:line="240" w:lineRule="auto"/>
        <w:jc w:val="both"/>
        <w:rPr>
          <w:rFonts w:eastAsia="Calibri" w:cs="Times New Roman"/>
          <w:sz w:val="20"/>
        </w:rPr>
      </w:pPr>
    </w:p>
    <w:p w14:paraId="4AF5FC7B" w14:textId="77777777" w:rsidR="000F7ACD" w:rsidRPr="000F7ACD" w:rsidRDefault="000F7ACD" w:rsidP="000F7ACD">
      <w:pPr>
        <w:spacing w:after="0" w:line="240" w:lineRule="auto"/>
        <w:jc w:val="both"/>
        <w:rPr>
          <w:rFonts w:eastAsia="Calibri" w:cs="Times New Roman"/>
          <w:sz w:val="20"/>
        </w:rPr>
      </w:pPr>
      <w:r w:rsidRPr="000F7ACD">
        <w:rPr>
          <w:rFonts w:eastAsia="Calibri" w:cs="Times New Roman"/>
          <w:sz w:val="20"/>
        </w:rPr>
        <w:t>Fait à Besançon, le</w:t>
      </w:r>
    </w:p>
    <w:p w14:paraId="39B2072B" w14:textId="7DC9DA94" w:rsidR="00595DF9" w:rsidRPr="00595DF9" w:rsidRDefault="00595DF9" w:rsidP="00CD45B7">
      <w:pPr>
        <w:jc w:val="both"/>
      </w:pPr>
    </w:p>
    <w:p w14:paraId="43D3576D" w14:textId="07330D4A" w:rsidR="00595DF9" w:rsidRPr="00595DF9" w:rsidRDefault="003B58A4" w:rsidP="00595DF9">
      <w:pPr>
        <w:jc w:val="right"/>
      </w:pPr>
      <w:r>
        <w:t>Monsieur Lamine Boubakar</w:t>
      </w:r>
    </w:p>
    <w:p w14:paraId="2BB2A0D6" w14:textId="41E00F18" w:rsidR="00595DF9" w:rsidRDefault="003B1270" w:rsidP="00595DF9">
      <w:pPr>
        <w:jc w:val="right"/>
      </w:pPr>
      <w:r>
        <w:t>Administrateur provisoire d’UBFC</w:t>
      </w:r>
    </w:p>
    <w:p w14:paraId="27474629" w14:textId="18E5359B" w:rsidR="00152F24" w:rsidRDefault="00152F24" w:rsidP="00595DF9">
      <w:pPr>
        <w:jc w:val="right"/>
      </w:pPr>
    </w:p>
    <w:p w14:paraId="2C464C75" w14:textId="75F80CFB" w:rsidR="003B58A4" w:rsidRDefault="003B58A4" w:rsidP="00595DF9">
      <w:pPr>
        <w:jc w:val="right"/>
      </w:pPr>
    </w:p>
    <w:p w14:paraId="4816E3A8" w14:textId="4D796727" w:rsidR="003B58A4" w:rsidRDefault="003B58A4" w:rsidP="00595DF9">
      <w:pPr>
        <w:jc w:val="right"/>
      </w:pPr>
    </w:p>
    <w:p w14:paraId="45771271" w14:textId="23ACCC7F" w:rsidR="003B58A4" w:rsidRDefault="003B58A4" w:rsidP="00595DF9">
      <w:pPr>
        <w:jc w:val="right"/>
      </w:pPr>
    </w:p>
    <w:p w14:paraId="372DD73D" w14:textId="66A0BA3C" w:rsidR="003B58A4" w:rsidRDefault="003B58A4" w:rsidP="00595DF9">
      <w:pPr>
        <w:jc w:val="right"/>
      </w:pPr>
    </w:p>
    <w:p w14:paraId="3F157B2B" w14:textId="5B4AC73D" w:rsidR="003B58A4" w:rsidRDefault="003B58A4" w:rsidP="00595DF9">
      <w:pPr>
        <w:jc w:val="right"/>
      </w:pPr>
    </w:p>
    <w:p w14:paraId="5ECA4F5E" w14:textId="77777777" w:rsidR="003B58A4" w:rsidRPr="00595DF9" w:rsidRDefault="003B58A4" w:rsidP="00595DF9">
      <w:pPr>
        <w:jc w:val="right"/>
      </w:pPr>
    </w:p>
    <w:p w14:paraId="0FB52258" w14:textId="6D9136E3" w:rsidR="00595DF9" w:rsidRPr="00595DF9" w:rsidRDefault="00595DF9" w:rsidP="00595DF9">
      <w:pPr>
        <w:pStyle w:val="Paragraphedeliste"/>
        <w:numPr>
          <w:ilvl w:val="0"/>
          <w:numId w:val="6"/>
        </w:numPr>
        <w:jc w:val="both"/>
      </w:pPr>
      <w:r w:rsidRPr="00595DF9">
        <w:t xml:space="preserve">Transmis à la Rectrice, Chancelière des Universités le : </w:t>
      </w:r>
    </w:p>
    <w:p w14:paraId="1B8E5326" w14:textId="703B8A72" w:rsidR="00595DF9" w:rsidRDefault="00595DF9" w:rsidP="006975EB">
      <w:pPr>
        <w:pStyle w:val="Paragraphedeliste"/>
        <w:numPr>
          <w:ilvl w:val="0"/>
          <w:numId w:val="6"/>
        </w:numPr>
        <w:jc w:val="both"/>
      </w:pPr>
      <w:r w:rsidRPr="00595DF9">
        <w:t xml:space="preserve">Mis en ligne le : </w:t>
      </w:r>
    </w:p>
    <w:p w14:paraId="373B3452" w14:textId="641C43A6" w:rsidR="003B58A4" w:rsidRDefault="003B58A4">
      <w:r>
        <w:br w:type="page"/>
      </w:r>
    </w:p>
    <w:p w14:paraId="2B5C21C8" w14:textId="77777777" w:rsidR="003B58A4" w:rsidRDefault="003B58A4" w:rsidP="003B58A4">
      <w:pPr>
        <w:jc w:val="both"/>
      </w:pPr>
    </w:p>
    <w:tbl>
      <w:tblPr>
        <w:tblStyle w:val="Grilledutableau"/>
        <w:tblW w:w="10490" w:type="dxa"/>
        <w:tblInd w:w="-572" w:type="dxa"/>
        <w:tblLook w:val="04A0" w:firstRow="1" w:lastRow="0" w:firstColumn="1" w:lastColumn="0" w:noHBand="0" w:noVBand="1"/>
      </w:tblPr>
      <w:tblGrid>
        <w:gridCol w:w="10490"/>
      </w:tblGrid>
      <w:tr w:rsidR="006975EB" w14:paraId="57547F25" w14:textId="77777777" w:rsidTr="006975EB">
        <w:tc>
          <w:tcPr>
            <w:tcW w:w="10490" w:type="dxa"/>
            <w:tcBorders>
              <w:top w:val="single" w:sz="4" w:space="0" w:color="auto"/>
              <w:left w:val="single" w:sz="4" w:space="0" w:color="auto"/>
              <w:bottom w:val="single" w:sz="4" w:space="0" w:color="auto"/>
              <w:right w:val="single" w:sz="4" w:space="0" w:color="auto"/>
            </w:tcBorders>
          </w:tcPr>
          <w:p w14:paraId="3C4078B9" w14:textId="77777777" w:rsidR="006975EB" w:rsidRDefault="006975EB">
            <w:pPr>
              <w:autoSpaceDE w:val="0"/>
              <w:autoSpaceDN w:val="0"/>
              <w:adjustRightInd w:val="0"/>
              <w:jc w:val="both"/>
              <w:rPr>
                <w:rFonts w:cs="Verdana,Bold"/>
                <w:b/>
                <w:bCs/>
                <w:sz w:val="16"/>
                <w:szCs w:val="16"/>
              </w:rPr>
            </w:pPr>
            <w:bookmarkStart w:id="1" w:name="_Hlk135982605"/>
            <w:r>
              <w:rPr>
                <w:rFonts w:cs="Verdana,Bold"/>
                <w:b/>
                <w:bCs/>
                <w:sz w:val="16"/>
                <w:szCs w:val="16"/>
              </w:rPr>
              <w:t>Voies et délais de recours</w:t>
            </w:r>
          </w:p>
          <w:p w14:paraId="10642B20" w14:textId="77777777" w:rsidR="006975EB" w:rsidRDefault="006975EB">
            <w:pPr>
              <w:jc w:val="both"/>
              <w:rPr>
                <w:rFonts w:cs="Verdana,Bold"/>
                <w:sz w:val="16"/>
                <w:szCs w:val="16"/>
              </w:rPr>
            </w:pPr>
            <w:r>
              <w:rPr>
                <w:rFonts w:cs="Verdana,Bold"/>
                <w:sz w:val="16"/>
                <w:szCs w:val="16"/>
              </w:rPr>
              <w:t xml:space="preserve">Si vous estimez que cet acte est irrégulier, vous pouvez former : </w:t>
            </w:r>
          </w:p>
          <w:p w14:paraId="6DD71CE6" w14:textId="77777777" w:rsidR="006975EB" w:rsidRDefault="006975EB" w:rsidP="006975EB">
            <w:pPr>
              <w:pStyle w:val="Paragraphedeliste"/>
              <w:numPr>
                <w:ilvl w:val="0"/>
                <w:numId w:val="11"/>
              </w:numPr>
              <w:ind w:left="0"/>
              <w:jc w:val="both"/>
              <w:rPr>
                <w:rFonts w:cs="Verdana,Bold"/>
                <w:sz w:val="16"/>
                <w:szCs w:val="16"/>
              </w:rPr>
            </w:pPr>
            <w:r>
              <w:rPr>
                <w:rFonts w:cs="Verdana,Bold"/>
                <w:sz w:val="16"/>
                <w:szCs w:val="16"/>
              </w:rPr>
              <w:t xml:space="preserve">Soit un recours administratif, qui peut prendre la forme d’un recours gracieux, devant l’auteur de l’acte ou celle d’un recours hiérarchique devant l’autorité hiérarchique compétente. Ce recours administratif doit être présenté dans les deux mois à compter de la notification du présent acte si vous souhaitez pouvoir former un recours contentieux contre une décision de rejet de votre recours gracieux. Celui-ci est réputé rejeté si vous n’avez pas reçu de réponse dans les deux mois suivant sa réception par l’administration. Vous disposez alors de deux mois pour former un recours contentieux. </w:t>
            </w:r>
          </w:p>
          <w:p w14:paraId="707C9F2F" w14:textId="77777777" w:rsidR="006975EB" w:rsidRDefault="006975EB">
            <w:pPr>
              <w:pStyle w:val="Paragraphedeliste"/>
              <w:ind w:left="0"/>
              <w:jc w:val="both"/>
              <w:rPr>
                <w:rFonts w:cs="Verdana,Bold"/>
                <w:sz w:val="16"/>
                <w:szCs w:val="16"/>
              </w:rPr>
            </w:pPr>
            <w:r>
              <w:rPr>
                <w:rFonts w:cs="Verdana,Bold"/>
                <w:sz w:val="16"/>
                <w:szCs w:val="16"/>
              </w:rPr>
              <w:t>Si une décision expresse vous est notifiée dans les quatre mois suivant la réception de votre recours gracieux, vous disposerez alors d’un délai de deux mois, à compter de la notification de cette décision expresse, pour former un recours contentieux.</w:t>
            </w:r>
          </w:p>
          <w:p w14:paraId="77F3C32F" w14:textId="77777777" w:rsidR="006975EB" w:rsidRDefault="006975EB" w:rsidP="006975EB">
            <w:pPr>
              <w:pStyle w:val="Paragraphedeliste"/>
              <w:numPr>
                <w:ilvl w:val="0"/>
                <w:numId w:val="11"/>
              </w:numPr>
              <w:ind w:left="0"/>
              <w:jc w:val="both"/>
              <w:rPr>
                <w:rFonts w:cs="Verdana,Bold"/>
                <w:sz w:val="16"/>
                <w:szCs w:val="16"/>
              </w:rPr>
            </w:pPr>
            <w:r>
              <w:rPr>
                <w:rFonts w:cs="Verdana,Bold"/>
                <w:sz w:val="16"/>
                <w:szCs w:val="16"/>
              </w:rPr>
              <w:t xml:space="preserve">Soit un recours contentieux devant le tribunal administratif territorialement compétent, dans le délai de deux mois à compter de la notification ou de la publication du présent acte. </w:t>
            </w:r>
          </w:p>
          <w:p w14:paraId="5D93DEAE" w14:textId="77777777" w:rsidR="006975EB" w:rsidRDefault="006975EB">
            <w:pPr>
              <w:jc w:val="both"/>
              <w:rPr>
                <w:rFonts w:cs="Verdana,Bold"/>
                <w:sz w:val="16"/>
                <w:szCs w:val="16"/>
              </w:rPr>
            </w:pPr>
            <w:r>
              <w:rPr>
                <w:rFonts w:cs="Verdana,Bold"/>
                <w:sz w:val="16"/>
                <w:szCs w:val="16"/>
              </w:rPr>
              <w:t>Depuis le 1</w:t>
            </w:r>
            <w:r>
              <w:rPr>
                <w:rFonts w:cs="Verdana,Bold"/>
                <w:sz w:val="16"/>
                <w:szCs w:val="16"/>
                <w:vertAlign w:val="superscript"/>
              </w:rPr>
              <w:t>er</w:t>
            </w:r>
            <w:r>
              <w:rPr>
                <w:rFonts w:cs="Verdana,Bold"/>
                <w:sz w:val="16"/>
                <w:szCs w:val="16"/>
              </w:rPr>
              <w:t xml:space="preserve"> décembre 2018, vous pouvez également déposer votre recours juridictionnel sur l’application internet Télérecours citoyens, en suivant les instructions disponibles à l’adresse suivante : </w:t>
            </w:r>
            <w:hyperlink r:id="rId8" w:history="1">
              <w:r>
                <w:rPr>
                  <w:rStyle w:val="Lienhypertexte"/>
                  <w:rFonts w:cs="Verdana,Bold"/>
                  <w:sz w:val="16"/>
                  <w:szCs w:val="16"/>
                </w:rPr>
                <w:t>www.telerecours.fr</w:t>
              </w:r>
            </w:hyperlink>
          </w:p>
          <w:p w14:paraId="0CD295C0" w14:textId="77777777" w:rsidR="006975EB" w:rsidRDefault="006975EB">
            <w:pPr>
              <w:jc w:val="both"/>
              <w:rPr>
                <w:rFonts w:cs="Verdana,Bold"/>
                <w:sz w:val="16"/>
                <w:szCs w:val="16"/>
              </w:rPr>
            </w:pPr>
            <w:r>
              <w:rPr>
                <w:rFonts w:cs="Verdana,Bold"/>
                <w:sz w:val="16"/>
                <w:szCs w:val="16"/>
              </w:rPr>
              <w:t xml:space="preserve">Dans ce cas, vous n’avez pas à produire de copies de votre recours et vous êtes assurés d’un enregistrement immédiat, sans délai d’acheminement. </w:t>
            </w:r>
            <w:bookmarkEnd w:id="1"/>
          </w:p>
          <w:p w14:paraId="05C7A6BE" w14:textId="77777777" w:rsidR="006975EB" w:rsidRDefault="006975EB">
            <w:pPr>
              <w:pStyle w:val="Paragraphedeliste"/>
              <w:ind w:left="0"/>
              <w:jc w:val="both"/>
            </w:pPr>
          </w:p>
        </w:tc>
      </w:tr>
    </w:tbl>
    <w:p w14:paraId="16A71A4E" w14:textId="23A8EAA5" w:rsidR="00595DF9" w:rsidRDefault="00595DF9" w:rsidP="006975EB">
      <w:pPr>
        <w:jc w:val="both"/>
      </w:pPr>
    </w:p>
    <w:p w14:paraId="67F3D005" w14:textId="77777777" w:rsidR="00595DF9" w:rsidRDefault="00595DF9" w:rsidP="00595DF9">
      <w:pPr>
        <w:jc w:val="both"/>
        <w:sectPr w:rsidR="00595DF9" w:rsidSect="00BA73BA">
          <w:headerReference w:type="default" r:id="rId9"/>
          <w:footerReference w:type="default" r:id="rId10"/>
          <w:pgSz w:w="11906" w:h="16838"/>
          <w:pgMar w:top="1417" w:right="1417" w:bottom="1417" w:left="1417" w:header="708" w:footer="456" w:gutter="0"/>
          <w:cols w:space="708"/>
          <w:docGrid w:linePitch="360"/>
        </w:sectPr>
      </w:pPr>
    </w:p>
    <w:p w14:paraId="3037875C" w14:textId="5D50AEC9" w:rsidR="00152F24" w:rsidRPr="00152F24" w:rsidRDefault="00152F24" w:rsidP="00152F24"/>
    <w:p w14:paraId="7B4E311A" w14:textId="01BEBBB8" w:rsidR="00152F24" w:rsidRDefault="00152F24" w:rsidP="00152F24"/>
    <w:p w14:paraId="5D08E9BE" w14:textId="77777777" w:rsidR="000F7ACD" w:rsidRPr="002969A4" w:rsidRDefault="000F7ACD" w:rsidP="000F7ACD">
      <w:pPr>
        <w:rPr>
          <w:b/>
        </w:rPr>
      </w:pPr>
      <w:r w:rsidRPr="002969A4">
        <w:rPr>
          <w:b/>
        </w:rPr>
        <w:t>ANNEXE 1 : Bénéficiaires et objet de la délégation de signature de l’ordonnateur principal</w:t>
      </w:r>
    </w:p>
    <w:tbl>
      <w:tblPr>
        <w:tblStyle w:val="Grilledutableau"/>
        <w:tblW w:w="0" w:type="auto"/>
        <w:tblLook w:val="04A0" w:firstRow="1" w:lastRow="0" w:firstColumn="1" w:lastColumn="0" w:noHBand="0" w:noVBand="1"/>
      </w:tblPr>
      <w:tblGrid>
        <w:gridCol w:w="2878"/>
        <w:gridCol w:w="5331"/>
        <w:gridCol w:w="5785"/>
      </w:tblGrid>
      <w:tr w:rsidR="000F7ACD" w:rsidRPr="002969A4" w14:paraId="5A09686C" w14:textId="77777777" w:rsidTr="006E3F65">
        <w:tc>
          <w:tcPr>
            <w:tcW w:w="2972" w:type="dxa"/>
            <w:shd w:val="clear" w:color="auto" w:fill="33CCCC"/>
            <w:vAlign w:val="center"/>
          </w:tcPr>
          <w:p w14:paraId="39FC1084" w14:textId="77777777" w:rsidR="000F7ACD" w:rsidRPr="002969A4" w:rsidRDefault="000F7ACD" w:rsidP="00C36CC0">
            <w:pPr>
              <w:spacing w:after="160" w:line="259" w:lineRule="auto"/>
              <w:jc w:val="center"/>
              <w:rPr>
                <w:rFonts w:cs="Arial"/>
                <w:b/>
                <w:sz w:val="16"/>
                <w:szCs w:val="16"/>
              </w:rPr>
            </w:pPr>
            <w:r w:rsidRPr="002969A4">
              <w:rPr>
                <w:rFonts w:cs="Arial"/>
                <w:b/>
                <w:sz w:val="16"/>
                <w:szCs w:val="16"/>
              </w:rPr>
              <w:t>Bénéficiaires</w:t>
            </w:r>
          </w:p>
        </w:tc>
        <w:tc>
          <w:tcPr>
            <w:tcW w:w="11588" w:type="dxa"/>
            <w:gridSpan w:val="2"/>
            <w:shd w:val="clear" w:color="auto" w:fill="33CCCC"/>
            <w:vAlign w:val="center"/>
          </w:tcPr>
          <w:p w14:paraId="16126069" w14:textId="77777777" w:rsidR="000F7ACD" w:rsidRPr="002969A4" w:rsidRDefault="000F7ACD" w:rsidP="00C36CC0">
            <w:pPr>
              <w:spacing w:after="160" w:line="259" w:lineRule="auto"/>
              <w:jc w:val="center"/>
              <w:rPr>
                <w:rFonts w:cs="Arial"/>
                <w:b/>
                <w:sz w:val="16"/>
                <w:szCs w:val="16"/>
              </w:rPr>
            </w:pPr>
            <w:r w:rsidRPr="002969A4">
              <w:rPr>
                <w:rFonts w:cs="Arial"/>
                <w:b/>
                <w:sz w:val="16"/>
                <w:szCs w:val="16"/>
              </w:rPr>
              <w:t>Objet de la délégation</w:t>
            </w:r>
          </w:p>
        </w:tc>
      </w:tr>
      <w:tr w:rsidR="000F7ACD" w:rsidRPr="002969A4" w14:paraId="1E4DBFB9" w14:textId="77777777" w:rsidTr="006E3F65">
        <w:tc>
          <w:tcPr>
            <w:tcW w:w="2972" w:type="dxa"/>
            <w:shd w:val="clear" w:color="auto" w:fill="33CCCC"/>
            <w:vAlign w:val="center"/>
          </w:tcPr>
          <w:p w14:paraId="35F7CDA1" w14:textId="77777777" w:rsidR="000F7ACD" w:rsidRPr="002969A4" w:rsidRDefault="000F7ACD" w:rsidP="00C36CC0">
            <w:pPr>
              <w:spacing w:after="160" w:line="259" w:lineRule="auto"/>
              <w:jc w:val="center"/>
              <w:rPr>
                <w:rFonts w:cs="Arial"/>
                <w:b/>
                <w:sz w:val="16"/>
                <w:szCs w:val="16"/>
              </w:rPr>
            </w:pPr>
            <w:r w:rsidRPr="002969A4">
              <w:rPr>
                <w:rFonts w:cs="Arial"/>
                <w:b/>
                <w:sz w:val="16"/>
                <w:szCs w:val="16"/>
              </w:rPr>
              <w:t>Identité et fonctions ou corps justifiant la délégation de signature.</w:t>
            </w:r>
          </w:p>
        </w:tc>
        <w:tc>
          <w:tcPr>
            <w:tcW w:w="5528" w:type="dxa"/>
            <w:shd w:val="clear" w:color="auto" w:fill="33CCCC"/>
            <w:vAlign w:val="center"/>
          </w:tcPr>
          <w:p w14:paraId="7E985D85" w14:textId="77777777" w:rsidR="000F7ACD" w:rsidRPr="002969A4" w:rsidRDefault="000F7ACD" w:rsidP="00C36CC0">
            <w:pPr>
              <w:spacing w:after="160" w:line="259" w:lineRule="auto"/>
              <w:jc w:val="center"/>
              <w:rPr>
                <w:rFonts w:cs="Arial"/>
                <w:b/>
                <w:sz w:val="16"/>
                <w:szCs w:val="16"/>
              </w:rPr>
            </w:pPr>
            <w:r w:rsidRPr="002969A4">
              <w:rPr>
                <w:rFonts w:cs="Arial"/>
                <w:b/>
                <w:sz w:val="16"/>
                <w:szCs w:val="16"/>
              </w:rPr>
              <w:t>En matière administrative sur tous les fonds gérés par UBFC</w:t>
            </w:r>
          </w:p>
        </w:tc>
        <w:tc>
          <w:tcPr>
            <w:tcW w:w="6060" w:type="dxa"/>
            <w:shd w:val="clear" w:color="auto" w:fill="33CCCC"/>
            <w:vAlign w:val="center"/>
          </w:tcPr>
          <w:p w14:paraId="3648B4D2" w14:textId="77777777" w:rsidR="000F7ACD" w:rsidRPr="002969A4" w:rsidRDefault="000F7ACD" w:rsidP="00C36CC0">
            <w:pPr>
              <w:spacing w:after="160" w:line="259" w:lineRule="auto"/>
              <w:jc w:val="center"/>
              <w:rPr>
                <w:rFonts w:cs="Arial"/>
                <w:b/>
                <w:sz w:val="16"/>
                <w:szCs w:val="16"/>
              </w:rPr>
            </w:pPr>
            <w:r w:rsidRPr="002969A4">
              <w:rPr>
                <w:rFonts w:cs="Arial"/>
                <w:b/>
                <w:sz w:val="16"/>
                <w:szCs w:val="16"/>
              </w:rPr>
              <w:t>En matière financière sur tous les fonds gérés par UBFC</w:t>
            </w:r>
          </w:p>
        </w:tc>
      </w:tr>
      <w:tr w:rsidR="000F7ACD" w:rsidRPr="002969A4" w14:paraId="3C441C47" w14:textId="77777777" w:rsidTr="00C36CC0">
        <w:tc>
          <w:tcPr>
            <w:tcW w:w="2972" w:type="dxa"/>
          </w:tcPr>
          <w:p w14:paraId="7DCFE16B" w14:textId="77777777" w:rsidR="00B215F3" w:rsidRDefault="00B215F3" w:rsidP="00C36CC0">
            <w:pPr>
              <w:spacing w:line="259" w:lineRule="auto"/>
              <w:rPr>
                <w:rFonts w:cs="Arial"/>
                <w:b/>
                <w:sz w:val="16"/>
                <w:szCs w:val="16"/>
              </w:rPr>
            </w:pPr>
            <w:r w:rsidRPr="00B215F3">
              <w:rPr>
                <w:rFonts w:cs="Arial"/>
                <w:b/>
                <w:sz w:val="16"/>
                <w:szCs w:val="16"/>
              </w:rPr>
              <w:t>Adnane ALI-AHMED</w:t>
            </w:r>
          </w:p>
          <w:p w14:paraId="39E32620" w14:textId="721AF71B" w:rsidR="00B215F3" w:rsidRPr="00B215F3" w:rsidRDefault="00B215F3" w:rsidP="00C36CC0">
            <w:pPr>
              <w:spacing w:line="259" w:lineRule="auto"/>
              <w:rPr>
                <w:rFonts w:cs="Arial"/>
                <w:bCs/>
                <w:sz w:val="16"/>
                <w:szCs w:val="16"/>
              </w:rPr>
            </w:pPr>
            <w:r w:rsidRPr="00B215F3">
              <w:rPr>
                <w:rFonts w:cs="Arial"/>
                <w:bCs/>
                <w:sz w:val="16"/>
                <w:szCs w:val="16"/>
              </w:rPr>
              <w:t>C</w:t>
            </w:r>
            <w:r w:rsidRPr="00B215F3">
              <w:rPr>
                <w:rFonts w:cs="Arial"/>
                <w:bCs/>
                <w:sz w:val="16"/>
                <w:szCs w:val="16"/>
              </w:rPr>
              <w:t>hargé du pilotage du projet Harmi et ISITE </w:t>
            </w:r>
          </w:p>
          <w:p w14:paraId="27C0D11C" w14:textId="24F3D946" w:rsidR="000F7ACD" w:rsidRPr="002969A4" w:rsidRDefault="000F7ACD" w:rsidP="00C36CC0">
            <w:pPr>
              <w:spacing w:line="259" w:lineRule="auto"/>
              <w:rPr>
                <w:rFonts w:cs="Arial"/>
                <w:b/>
                <w:sz w:val="16"/>
                <w:szCs w:val="16"/>
              </w:rPr>
            </w:pPr>
            <w:r w:rsidRPr="002969A4">
              <w:rPr>
                <w:rFonts w:cs="Arial"/>
                <w:b/>
                <w:sz w:val="16"/>
                <w:szCs w:val="16"/>
              </w:rPr>
              <w:t>Ayaa AMGHAR</w:t>
            </w:r>
          </w:p>
          <w:p w14:paraId="2B22DBCA" w14:textId="77777777" w:rsidR="000F7ACD" w:rsidRPr="002969A4" w:rsidRDefault="000F7ACD" w:rsidP="00C36CC0">
            <w:pPr>
              <w:spacing w:line="259" w:lineRule="auto"/>
              <w:rPr>
                <w:rFonts w:cs="Arial"/>
                <w:sz w:val="16"/>
                <w:szCs w:val="16"/>
              </w:rPr>
            </w:pPr>
            <w:r w:rsidRPr="002969A4">
              <w:rPr>
                <w:rFonts w:cs="Arial"/>
                <w:sz w:val="16"/>
                <w:szCs w:val="16"/>
              </w:rPr>
              <w:t>Ingénieur d’études catégorie A</w:t>
            </w:r>
          </w:p>
          <w:p w14:paraId="5F18F5DE" w14:textId="762C1AD8" w:rsidR="000F7ACD" w:rsidRPr="002969A4" w:rsidRDefault="000F7ACD" w:rsidP="00C36CC0">
            <w:pPr>
              <w:spacing w:line="259" w:lineRule="auto"/>
              <w:rPr>
                <w:rFonts w:cs="Arial"/>
                <w:b/>
                <w:sz w:val="16"/>
                <w:szCs w:val="16"/>
              </w:rPr>
            </w:pPr>
            <w:r w:rsidRPr="002969A4">
              <w:rPr>
                <w:rFonts w:cs="Arial"/>
                <w:sz w:val="16"/>
                <w:szCs w:val="16"/>
              </w:rPr>
              <w:t>Pilote et gestionnaire financier de projets de recherche</w:t>
            </w:r>
          </w:p>
          <w:p w14:paraId="5B9D41A7" w14:textId="77777777" w:rsidR="000F7ACD" w:rsidRPr="002969A4" w:rsidRDefault="000F7ACD" w:rsidP="00C36CC0">
            <w:pPr>
              <w:spacing w:line="259" w:lineRule="auto"/>
              <w:rPr>
                <w:rFonts w:cs="Arial"/>
                <w:b/>
                <w:sz w:val="16"/>
                <w:szCs w:val="16"/>
              </w:rPr>
            </w:pPr>
            <w:r w:rsidRPr="002969A4">
              <w:rPr>
                <w:rFonts w:cs="Arial"/>
                <w:b/>
                <w:sz w:val="16"/>
                <w:szCs w:val="16"/>
              </w:rPr>
              <w:t>Loïc BERNARD</w:t>
            </w:r>
          </w:p>
          <w:p w14:paraId="3AEC951C" w14:textId="77777777" w:rsidR="000F7ACD" w:rsidRPr="002969A4" w:rsidRDefault="000F7ACD" w:rsidP="00C36CC0">
            <w:pPr>
              <w:spacing w:line="259" w:lineRule="auto"/>
              <w:rPr>
                <w:rFonts w:cs="Arial"/>
                <w:sz w:val="16"/>
                <w:szCs w:val="16"/>
              </w:rPr>
            </w:pPr>
            <w:r w:rsidRPr="002969A4">
              <w:rPr>
                <w:rFonts w:cs="Arial"/>
                <w:sz w:val="16"/>
                <w:szCs w:val="16"/>
              </w:rPr>
              <w:t>Assistant ingénieur catégorie A</w:t>
            </w:r>
          </w:p>
          <w:p w14:paraId="10CE5D82" w14:textId="6FD3AF1D" w:rsidR="000F7ACD" w:rsidRDefault="000F7ACD" w:rsidP="00C36CC0">
            <w:pPr>
              <w:spacing w:line="259" w:lineRule="auto"/>
              <w:rPr>
                <w:rFonts w:cs="Arial"/>
                <w:sz w:val="16"/>
                <w:szCs w:val="16"/>
              </w:rPr>
            </w:pPr>
            <w:r w:rsidRPr="002969A4">
              <w:rPr>
                <w:rFonts w:cs="Arial"/>
                <w:sz w:val="16"/>
                <w:szCs w:val="16"/>
              </w:rPr>
              <w:t>Pilote et gestionnaire financier de projets de recherche</w:t>
            </w:r>
          </w:p>
          <w:p w14:paraId="4D2E6588" w14:textId="2288FF8E" w:rsidR="00F25290" w:rsidRPr="002969A4" w:rsidRDefault="00F25290" w:rsidP="00F25290">
            <w:pPr>
              <w:spacing w:line="259" w:lineRule="auto"/>
              <w:rPr>
                <w:rFonts w:cs="Arial"/>
                <w:b/>
                <w:sz w:val="16"/>
                <w:szCs w:val="16"/>
              </w:rPr>
            </w:pPr>
            <w:r>
              <w:rPr>
                <w:rFonts w:cs="Arial"/>
                <w:b/>
                <w:sz w:val="16"/>
                <w:szCs w:val="16"/>
              </w:rPr>
              <w:t>Catherine DAURELE</w:t>
            </w:r>
          </w:p>
          <w:p w14:paraId="07F9F77D" w14:textId="7CC89697" w:rsidR="00F25290" w:rsidRPr="002969A4" w:rsidRDefault="00F25290" w:rsidP="00F25290">
            <w:pPr>
              <w:spacing w:line="259" w:lineRule="auto"/>
              <w:rPr>
                <w:rFonts w:cs="Arial"/>
                <w:sz w:val="16"/>
                <w:szCs w:val="16"/>
              </w:rPr>
            </w:pPr>
            <w:r w:rsidRPr="002969A4">
              <w:rPr>
                <w:rFonts w:cs="Arial"/>
                <w:sz w:val="16"/>
                <w:szCs w:val="16"/>
              </w:rPr>
              <w:t>Ingénieur d’études catégorie A</w:t>
            </w:r>
          </w:p>
          <w:p w14:paraId="26F1DB08" w14:textId="66B215DD" w:rsidR="00F25290" w:rsidRPr="002969A4" w:rsidRDefault="00F25290" w:rsidP="00C36CC0">
            <w:pPr>
              <w:spacing w:line="259" w:lineRule="auto"/>
              <w:rPr>
                <w:rFonts w:cs="Arial"/>
                <w:sz w:val="16"/>
                <w:szCs w:val="16"/>
              </w:rPr>
            </w:pPr>
            <w:r w:rsidRPr="002969A4">
              <w:rPr>
                <w:rFonts w:cs="Arial"/>
                <w:sz w:val="16"/>
                <w:szCs w:val="16"/>
              </w:rPr>
              <w:t>Pilote et gestionnaire financier de projets de recherche</w:t>
            </w:r>
          </w:p>
          <w:p w14:paraId="195B5DDA" w14:textId="77777777" w:rsidR="000F7ACD" w:rsidRPr="002969A4" w:rsidRDefault="000F7ACD" w:rsidP="00C36CC0">
            <w:pPr>
              <w:spacing w:line="259" w:lineRule="auto"/>
              <w:rPr>
                <w:rFonts w:cs="Arial"/>
                <w:b/>
                <w:sz w:val="16"/>
                <w:szCs w:val="16"/>
              </w:rPr>
            </w:pPr>
            <w:r w:rsidRPr="002969A4">
              <w:rPr>
                <w:rFonts w:cs="Arial"/>
                <w:b/>
                <w:sz w:val="16"/>
                <w:szCs w:val="16"/>
              </w:rPr>
              <w:t>Diana MECHAYMECH</w:t>
            </w:r>
          </w:p>
          <w:p w14:paraId="612C257F" w14:textId="77777777" w:rsidR="000F7ACD" w:rsidRPr="002969A4" w:rsidRDefault="000F7ACD" w:rsidP="00C36CC0">
            <w:pPr>
              <w:spacing w:line="259" w:lineRule="auto"/>
              <w:rPr>
                <w:rFonts w:cs="Arial"/>
                <w:sz w:val="16"/>
                <w:szCs w:val="16"/>
              </w:rPr>
            </w:pPr>
            <w:r w:rsidRPr="002969A4">
              <w:rPr>
                <w:rFonts w:cs="Arial"/>
                <w:sz w:val="16"/>
                <w:szCs w:val="16"/>
              </w:rPr>
              <w:t>Assistant ingénieur catégorie A</w:t>
            </w:r>
          </w:p>
          <w:p w14:paraId="3223B018" w14:textId="31652EAE" w:rsidR="000F7ACD" w:rsidRPr="002969A4" w:rsidRDefault="000F7ACD" w:rsidP="00C36CC0">
            <w:pPr>
              <w:spacing w:line="259" w:lineRule="auto"/>
              <w:rPr>
                <w:rFonts w:cs="Arial"/>
                <w:sz w:val="16"/>
                <w:szCs w:val="16"/>
              </w:rPr>
            </w:pPr>
            <w:r w:rsidRPr="002969A4">
              <w:rPr>
                <w:rFonts w:cs="Arial"/>
                <w:sz w:val="16"/>
                <w:szCs w:val="16"/>
              </w:rPr>
              <w:t>Pilote et gestionnaire financier de projets de recherche</w:t>
            </w:r>
          </w:p>
          <w:p w14:paraId="1E274C15" w14:textId="77777777" w:rsidR="000F7ACD" w:rsidRPr="002969A4" w:rsidRDefault="000F7ACD" w:rsidP="00C36CC0">
            <w:pPr>
              <w:spacing w:line="259" w:lineRule="auto"/>
              <w:rPr>
                <w:rFonts w:cs="Arial"/>
                <w:b/>
                <w:sz w:val="16"/>
                <w:szCs w:val="16"/>
              </w:rPr>
            </w:pPr>
            <w:r w:rsidRPr="002969A4">
              <w:rPr>
                <w:rFonts w:cs="Arial"/>
                <w:b/>
                <w:sz w:val="16"/>
                <w:szCs w:val="16"/>
              </w:rPr>
              <w:t>Elodie MIGUEL</w:t>
            </w:r>
          </w:p>
          <w:p w14:paraId="649E806B" w14:textId="77777777" w:rsidR="000F7ACD" w:rsidRPr="002969A4" w:rsidRDefault="000F7ACD" w:rsidP="00C36CC0">
            <w:pPr>
              <w:spacing w:line="259" w:lineRule="auto"/>
              <w:rPr>
                <w:rFonts w:cs="Arial"/>
                <w:sz w:val="16"/>
                <w:szCs w:val="16"/>
              </w:rPr>
            </w:pPr>
            <w:r w:rsidRPr="002969A4">
              <w:rPr>
                <w:rFonts w:cs="Arial"/>
                <w:sz w:val="16"/>
                <w:szCs w:val="16"/>
              </w:rPr>
              <w:t>Ingénieur d’études catégorie A</w:t>
            </w:r>
          </w:p>
          <w:p w14:paraId="4460E390" w14:textId="5D29B7A3" w:rsidR="000F7ACD" w:rsidRDefault="000F7ACD" w:rsidP="00C36CC0">
            <w:pPr>
              <w:spacing w:line="259" w:lineRule="auto"/>
              <w:rPr>
                <w:rFonts w:cs="Arial"/>
                <w:sz w:val="16"/>
                <w:szCs w:val="16"/>
              </w:rPr>
            </w:pPr>
            <w:r w:rsidRPr="002969A4">
              <w:rPr>
                <w:rFonts w:cs="Arial"/>
                <w:sz w:val="16"/>
                <w:szCs w:val="16"/>
              </w:rPr>
              <w:t>Pilote et gestionnaire financier de projets de recherche</w:t>
            </w:r>
          </w:p>
          <w:p w14:paraId="1F2B0A2E" w14:textId="506B4CF4" w:rsidR="005B2A18" w:rsidRPr="002969A4" w:rsidRDefault="005B2A18" w:rsidP="005B2A18">
            <w:pPr>
              <w:spacing w:line="259" w:lineRule="auto"/>
              <w:rPr>
                <w:rFonts w:cs="Arial"/>
                <w:b/>
                <w:sz w:val="16"/>
                <w:szCs w:val="16"/>
              </w:rPr>
            </w:pPr>
            <w:r>
              <w:rPr>
                <w:rFonts w:cs="Arial"/>
                <w:b/>
                <w:sz w:val="16"/>
                <w:szCs w:val="16"/>
              </w:rPr>
              <w:t>Pascaline</w:t>
            </w:r>
            <w:r w:rsidRPr="002969A4">
              <w:rPr>
                <w:rFonts w:cs="Arial"/>
                <w:b/>
                <w:sz w:val="16"/>
                <w:szCs w:val="16"/>
              </w:rPr>
              <w:t xml:space="preserve"> </w:t>
            </w:r>
            <w:r>
              <w:rPr>
                <w:rFonts w:cs="Arial"/>
                <w:b/>
                <w:sz w:val="16"/>
                <w:szCs w:val="16"/>
              </w:rPr>
              <w:t>PERSONNIER</w:t>
            </w:r>
          </w:p>
          <w:p w14:paraId="513237B7" w14:textId="3C99CCDA" w:rsidR="005B2A18" w:rsidRPr="002969A4" w:rsidRDefault="005B2A18" w:rsidP="005B2A18">
            <w:pPr>
              <w:spacing w:line="259" w:lineRule="auto"/>
              <w:rPr>
                <w:rFonts w:cs="Arial"/>
                <w:sz w:val="16"/>
                <w:szCs w:val="16"/>
              </w:rPr>
            </w:pPr>
            <w:r w:rsidRPr="002969A4">
              <w:rPr>
                <w:rFonts w:cs="Arial"/>
                <w:sz w:val="16"/>
                <w:szCs w:val="16"/>
              </w:rPr>
              <w:t xml:space="preserve">Ingénieur </w:t>
            </w:r>
            <w:r>
              <w:rPr>
                <w:rFonts w:cs="Arial"/>
                <w:sz w:val="16"/>
                <w:szCs w:val="16"/>
              </w:rPr>
              <w:t>de recherche</w:t>
            </w:r>
            <w:r w:rsidRPr="002969A4">
              <w:rPr>
                <w:rFonts w:cs="Arial"/>
                <w:sz w:val="16"/>
                <w:szCs w:val="16"/>
              </w:rPr>
              <w:t xml:space="preserve"> catégorie A</w:t>
            </w:r>
          </w:p>
          <w:p w14:paraId="2476D251" w14:textId="099BEF1B" w:rsidR="005B2A18" w:rsidRPr="000F7ACD" w:rsidRDefault="005B2A18" w:rsidP="00C36CC0">
            <w:pPr>
              <w:spacing w:line="259" w:lineRule="auto"/>
              <w:rPr>
                <w:rFonts w:cs="Arial"/>
                <w:sz w:val="16"/>
                <w:szCs w:val="16"/>
              </w:rPr>
            </w:pPr>
            <w:r>
              <w:rPr>
                <w:rFonts w:cs="Arial"/>
                <w:sz w:val="16"/>
                <w:szCs w:val="16"/>
              </w:rPr>
              <w:t>Directrice</w:t>
            </w:r>
            <w:r w:rsidRPr="002969A4">
              <w:rPr>
                <w:rFonts w:cs="Arial"/>
                <w:sz w:val="16"/>
                <w:szCs w:val="16"/>
              </w:rPr>
              <w:t xml:space="preserve"> </w:t>
            </w:r>
            <w:r>
              <w:rPr>
                <w:rFonts w:cs="Arial"/>
                <w:sz w:val="16"/>
                <w:szCs w:val="16"/>
              </w:rPr>
              <w:t>du PIA RITM</w:t>
            </w:r>
          </w:p>
          <w:p w14:paraId="27D21D03" w14:textId="77777777" w:rsidR="000F7ACD" w:rsidRPr="002969A4" w:rsidRDefault="000F7ACD" w:rsidP="00C36CC0">
            <w:pPr>
              <w:spacing w:line="259" w:lineRule="auto"/>
              <w:rPr>
                <w:rFonts w:cs="Arial"/>
                <w:b/>
                <w:sz w:val="16"/>
                <w:szCs w:val="16"/>
              </w:rPr>
            </w:pPr>
            <w:r w:rsidRPr="002969A4">
              <w:rPr>
                <w:rFonts w:cs="Arial"/>
                <w:b/>
                <w:sz w:val="16"/>
                <w:szCs w:val="16"/>
              </w:rPr>
              <w:t>Elyse SUGNY</w:t>
            </w:r>
          </w:p>
          <w:p w14:paraId="42AFBDE1" w14:textId="77777777" w:rsidR="000F7ACD" w:rsidRPr="002969A4" w:rsidRDefault="000F7ACD" w:rsidP="00C36CC0">
            <w:pPr>
              <w:spacing w:line="259" w:lineRule="auto"/>
              <w:rPr>
                <w:rFonts w:cs="Arial"/>
                <w:sz w:val="16"/>
                <w:szCs w:val="16"/>
              </w:rPr>
            </w:pPr>
            <w:r w:rsidRPr="002969A4">
              <w:rPr>
                <w:rFonts w:cs="Arial"/>
                <w:sz w:val="16"/>
                <w:szCs w:val="16"/>
              </w:rPr>
              <w:t>Assistant ingénieur catégorie A</w:t>
            </w:r>
          </w:p>
          <w:p w14:paraId="6B1426A5" w14:textId="77777777" w:rsidR="000F7ACD" w:rsidRPr="002969A4" w:rsidRDefault="000F7ACD" w:rsidP="00C36CC0">
            <w:pPr>
              <w:spacing w:line="259" w:lineRule="auto"/>
              <w:rPr>
                <w:rFonts w:cs="Arial"/>
                <w:sz w:val="16"/>
                <w:szCs w:val="16"/>
              </w:rPr>
            </w:pPr>
            <w:r w:rsidRPr="002969A4">
              <w:rPr>
                <w:rFonts w:cs="Arial"/>
                <w:sz w:val="16"/>
                <w:szCs w:val="16"/>
              </w:rPr>
              <w:t>Pilote et gestionnaire financier de projets de recherche</w:t>
            </w:r>
          </w:p>
        </w:tc>
        <w:tc>
          <w:tcPr>
            <w:tcW w:w="5528" w:type="dxa"/>
          </w:tcPr>
          <w:p w14:paraId="7F1B73D6" w14:textId="77777777" w:rsidR="000F7ACD" w:rsidRPr="003206D0" w:rsidRDefault="000F7ACD" w:rsidP="00C36CC0">
            <w:pPr>
              <w:spacing w:line="259" w:lineRule="auto"/>
              <w:rPr>
                <w:rFonts w:cs="Arial"/>
                <w:sz w:val="18"/>
                <w:szCs w:val="18"/>
              </w:rPr>
            </w:pPr>
            <w:r w:rsidRPr="003206D0">
              <w:rPr>
                <w:rFonts w:cs="Arial"/>
                <w:sz w:val="18"/>
                <w:szCs w:val="18"/>
              </w:rPr>
              <w:t>Validation au nom de l’ordonnateur principal des ordres de mission des personnels UBFC et ou des personnels invités UBFC pour les destinations suivantes :</w:t>
            </w:r>
          </w:p>
          <w:p w14:paraId="5B37C829" w14:textId="77777777" w:rsidR="000F7ACD" w:rsidRPr="003206D0" w:rsidRDefault="000F7ACD" w:rsidP="000F7ACD">
            <w:pPr>
              <w:pStyle w:val="Paragraphedeliste"/>
              <w:numPr>
                <w:ilvl w:val="0"/>
                <w:numId w:val="10"/>
              </w:numPr>
              <w:spacing w:line="259" w:lineRule="auto"/>
              <w:jc w:val="both"/>
              <w:rPr>
                <w:rFonts w:cs="Arial"/>
                <w:sz w:val="18"/>
                <w:szCs w:val="18"/>
              </w:rPr>
            </w:pPr>
            <w:r w:rsidRPr="003206D0">
              <w:rPr>
                <w:rFonts w:cs="Arial"/>
                <w:sz w:val="18"/>
                <w:szCs w:val="18"/>
              </w:rPr>
              <w:t>France métropolitaine ;</w:t>
            </w:r>
          </w:p>
          <w:p w14:paraId="0606AAA2" w14:textId="77777777" w:rsidR="000F7ACD" w:rsidRPr="003206D0" w:rsidRDefault="000F7ACD" w:rsidP="000F7ACD">
            <w:pPr>
              <w:pStyle w:val="Paragraphedeliste"/>
              <w:numPr>
                <w:ilvl w:val="0"/>
                <w:numId w:val="10"/>
              </w:numPr>
              <w:spacing w:line="259" w:lineRule="auto"/>
              <w:jc w:val="both"/>
              <w:rPr>
                <w:rFonts w:cs="Arial"/>
                <w:sz w:val="18"/>
                <w:szCs w:val="18"/>
              </w:rPr>
            </w:pPr>
            <w:r w:rsidRPr="003206D0">
              <w:rPr>
                <w:rFonts w:cs="Arial"/>
                <w:sz w:val="18"/>
                <w:szCs w:val="18"/>
              </w:rPr>
              <w:t>France des Outre-mer ;</w:t>
            </w:r>
          </w:p>
          <w:p w14:paraId="48CCC53E" w14:textId="77777777" w:rsidR="000F7ACD" w:rsidRPr="003206D0" w:rsidRDefault="000F7ACD" w:rsidP="000F7ACD">
            <w:pPr>
              <w:pStyle w:val="Paragraphedeliste"/>
              <w:numPr>
                <w:ilvl w:val="0"/>
                <w:numId w:val="10"/>
              </w:numPr>
              <w:spacing w:line="259" w:lineRule="auto"/>
              <w:jc w:val="both"/>
              <w:rPr>
                <w:rFonts w:cs="Arial"/>
                <w:sz w:val="18"/>
                <w:szCs w:val="18"/>
              </w:rPr>
            </w:pPr>
            <w:r w:rsidRPr="003206D0">
              <w:rPr>
                <w:rFonts w:cs="Arial"/>
                <w:sz w:val="18"/>
                <w:szCs w:val="18"/>
              </w:rPr>
              <w:t>Pays membres de l’Union Européenne ;</w:t>
            </w:r>
          </w:p>
          <w:p w14:paraId="72B7C4CB" w14:textId="77777777" w:rsidR="000F7ACD" w:rsidRPr="003206D0" w:rsidRDefault="000F7ACD" w:rsidP="000F7ACD">
            <w:pPr>
              <w:pStyle w:val="Paragraphedeliste"/>
              <w:numPr>
                <w:ilvl w:val="0"/>
                <w:numId w:val="10"/>
              </w:numPr>
              <w:spacing w:line="259" w:lineRule="auto"/>
              <w:jc w:val="both"/>
              <w:rPr>
                <w:rFonts w:cs="Arial"/>
                <w:sz w:val="18"/>
                <w:szCs w:val="18"/>
              </w:rPr>
            </w:pPr>
            <w:r w:rsidRPr="003206D0">
              <w:rPr>
                <w:rFonts w:cs="Arial"/>
                <w:sz w:val="18"/>
                <w:szCs w:val="18"/>
              </w:rPr>
              <w:t>Autres pays de l’espace Schengen (AELE) ;</w:t>
            </w:r>
          </w:p>
          <w:p w14:paraId="0F05A7D2" w14:textId="77777777" w:rsidR="000F7ACD" w:rsidRPr="003206D0" w:rsidRDefault="000F7ACD" w:rsidP="000F7ACD">
            <w:pPr>
              <w:pStyle w:val="Paragraphedeliste"/>
              <w:numPr>
                <w:ilvl w:val="0"/>
                <w:numId w:val="10"/>
              </w:numPr>
              <w:spacing w:line="259" w:lineRule="auto"/>
              <w:jc w:val="both"/>
              <w:rPr>
                <w:rFonts w:cs="Arial"/>
                <w:sz w:val="18"/>
                <w:szCs w:val="18"/>
              </w:rPr>
            </w:pPr>
            <w:r w:rsidRPr="003206D0">
              <w:rPr>
                <w:rFonts w:cs="Arial"/>
                <w:sz w:val="18"/>
                <w:szCs w:val="18"/>
              </w:rPr>
              <w:t>Royaume-Uni.</w:t>
            </w:r>
          </w:p>
          <w:p w14:paraId="3C1456E3" w14:textId="77777777" w:rsidR="000F7ACD" w:rsidRDefault="000F7ACD" w:rsidP="00C36CC0">
            <w:pPr>
              <w:spacing w:line="259" w:lineRule="auto"/>
              <w:rPr>
                <w:rFonts w:cs="Arial"/>
                <w:sz w:val="16"/>
                <w:szCs w:val="16"/>
              </w:rPr>
            </w:pPr>
          </w:p>
          <w:p w14:paraId="75C0808D" w14:textId="3DF41E2D" w:rsidR="00ED2EF4" w:rsidRPr="00696E19" w:rsidRDefault="00ED2EF4" w:rsidP="00ED2EF4">
            <w:pPr>
              <w:contextualSpacing/>
              <w:jc w:val="both"/>
              <w:rPr>
                <w:rFonts w:eastAsia="Calibri" w:cs="Arial"/>
                <w:sz w:val="18"/>
                <w:szCs w:val="18"/>
              </w:rPr>
            </w:pPr>
            <w:r w:rsidRPr="00696E19">
              <w:rPr>
                <w:rFonts w:eastAsia="Calibri" w:cs="Arial"/>
                <w:sz w:val="18"/>
                <w:szCs w:val="18"/>
              </w:rPr>
              <w:t>Paramétrage dans le système d’information financier du régime fiscal de l’opération au nom de l’ordonnateur selon l’instruction de ce régime menée au préalable ;</w:t>
            </w:r>
          </w:p>
          <w:p w14:paraId="59367831" w14:textId="6E868C45" w:rsidR="00EF274A" w:rsidRPr="00696E19" w:rsidRDefault="00EF274A" w:rsidP="00ED2EF4">
            <w:pPr>
              <w:contextualSpacing/>
              <w:jc w:val="both"/>
              <w:rPr>
                <w:rFonts w:eastAsia="Calibri" w:cs="Arial"/>
                <w:sz w:val="18"/>
                <w:szCs w:val="18"/>
              </w:rPr>
            </w:pPr>
          </w:p>
          <w:p w14:paraId="3AC01DEA" w14:textId="12CDC2D3" w:rsidR="00EF274A" w:rsidRPr="00696E19" w:rsidRDefault="00EF274A" w:rsidP="00ED2EF4">
            <w:pPr>
              <w:contextualSpacing/>
              <w:jc w:val="both"/>
              <w:rPr>
                <w:rFonts w:eastAsia="Calibri" w:cs="Arial"/>
                <w:sz w:val="18"/>
                <w:szCs w:val="18"/>
              </w:rPr>
            </w:pPr>
            <w:r w:rsidRPr="00696E19">
              <w:rPr>
                <w:rFonts w:eastAsia="Calibri" w:cs="Arial"/>
                <w:sz w:val="18"/>
                <w:szCs w:val="18"/>
              </w:rPr>
              <w:t>Validation des tiers dans la base AGHRUM.</w:t>
            </w:r>
          </w:p>
          <w:p w14:paraId="6703D15E" w14:textId="01BC9E5F" w:rsidR="00ED2EF4" w:rsidRPr="002969A4" w:rsidRDefault="00ED2EF4" w:rsidP="00C36CC0">
            <w:pPr>
              <w:spacing w:line="259" w:lineRule="auto"/>
              <w:rPr>
                <w:rFonts w:cs="Arial"/>
                <w:sz w:val="16"/>
                <w:szCs w:val="16"/>
              </w:rPr>
            </w:pPr>
          </w:p>
        </w:tc>
        <w:tc>
          <w:tcPr>
            <w:tcW w:w="6060" w:type="dxa"/>
          </w:tcPr>
          <w:p w14:paraId="1883F830" w14:textId="5E976230" w:rsidR="000F7ACD" w:rsidRDefault="000F7ACD" w:rsidP="00C36CC0">
            <w:pPr>
              <w:spacing w:line="259" w:lineRule="auto"/>
              <w:rPr>
                <w:rFonts w:cs="Arial"/>
                <w:sz w:val="18"/>
                <w:szCs w:val="18"/>
              </w:rPr>
            </w:pPr>
            <w:r w:rsidRPr="003206D0">
              <w:rPr>
                <w:rFonts w:cs="Arial"/>
                <w:sz w:val="18"/>
                <w:szCs w:val="18"/>
              </w:rPr>
              <w:t>Validation des engagements juridiques des dépenses dans le système d’information financier de l’établissement dans la limite de 40 000 € HT par acte d’engagement ;</w:t>
            </w:r>
          </w:p>
          <w:p w14:paraId="709EAEF1" w14:textId="77777777" w:rsidR="00852913" w:rsidRDefault="00852913" w:rsidP="00C36CC0">
            <w:pPr>
              <w:spacing w:line="259" w:lineRule="auto"/>
              <w:rPr>
                <w:rFonts w:cs="Arial"/>
                <w:sz w:val="18"/>
                <w:szCs w:val="18"/>
              </w:rPr>
            </w:pPr>
          </w:p>
          <w:p w14:paraId="3A2BA609" w14:textId="0C47053F" w:rsidR="00852913" w:rsidRPr="00696E19" w:rsidRDefault="00852913" w:rsidP="00852913">
            <w:pPr>
              <w:jc w:val="both"/>
              <w:rPr>
                <w:rFonts w:eastAsia="Calibri" w:cs="Arial"/>
                <w:sz w:val="18"/>
                <w:szCs w:val="18"/>
              </w:rPr>
            </w:pPr>
            <w:r w:rsidRPr="00696E19">
              <w:rPr>
                <w:rFonts w:eastAsia="Calibri" w:cs="Arial"/>
                <w:sz w:val="18"/>
                <w:szCs w:val="18"/>
              </w:rPr>
              <w:t>Signature des ordres de paiement à distance par virement hors zone SEPA dans la limite de l’équivalent en devises de 40 000€ HT par ordre de paiement ;</w:t>
            </w:r>
          </w:p>
          <w:p w14:paraId="19D518A4" w14:textId="4EE66B9A" w:rsidR="000F7ACD" w:rsidRPr="00696E19" w:rsidRDefault="000F7ACD" w:rsidP="00C36CC0">
            <w:pPr>
              <w:spacing w:line="259" w:lineRule="auto"/>
              <w:rPr>
                <w:rFonts w:cs="Arial"/>
                <w:sz w:val="18"/>
                <w:szCs w:val="18"/>
              </w:rPr>
            </w:pPr>
          </w:p>
          <w:p w14:paraId="1F1EFED5" w14:textId="77777777" w:rsidR="000F7ACD" w:rsidRPr="00696E19" w:rsidRDefault="000F7ACD" w:rsidP="00C36CC0">
            <w:pPr>
              <w:spacing w:line="259" w:lineRule="auto"/>
              <w:rPr>
                <w:rFonts w:cs="Arial"/>
                <w:sz w:val="18"/>
                <w:szCs w:val="18"/>
              </w:rPr>
            </w:pPr>
            <w:r w:rsidRPr="00696E19">
              <w:rPr>
                <w:rFonts w:cs="Arial"/>
                <w:sz w:val="18"/>
                <w:szCs w:val="18"/>
              </w:rPr>
              <w:t>Signature, liquidation et demande de paiement des états liquidatifs des missions ;</w:t>
            </w:r>
          </w:p>
          <w:p w14:paraId="0322EE26" w14:textId="77777777" w:rsidR="000F7ACD" w:rsidRPr="00696E19" w:rsidRDefault="000F7ACD" w:rsidP="00C36CC0">
            <w:pPr>
              <w:spacing w:line="259" w:lineRule="auto"/>
              <w:rPr>
                <w:rFonts w:cs="Arial"/>
                <w:sz w:val="18"/>
                <w:szCs w:val="18"/>
              </w:rPr>
            </w:pPr>
          </w:p>
          <w:p w14:paraId="6E16E731" w14:textId="044682AF" w:rsidR="000F7ACD" w:rsidRPr="003206D0" w:rsidRDefault="000F7ACD" w:rsidP="00C36CC0">
            <w:pPr>
              <w:spacing w:line="259" w:lineRule="auto"/>
              <w:rPr>
                <w:rFonts w:cs="Arial"/>
                <w:sz w:val="18"/>
                <w:szCs w:val="18"/>
              </w:rPr>
            </w:pPr>
            <w:r w:rsidRPr="00696E19">
              <w:rPr>
                <w:rFonts w:cs="Arial"/>
                <w:sz w:val="18"/>
                <w:szCs w:val="18"/>
              </w:rPr>
              <w:t xml:space="preserve">Validation des certifications </w:t>
            </w:r>
            <w:r w:rsidR="005C44CC" w:rsidRPr="00696E19">
              <w:rPr>
                <w:rFonts w:cs="Arial"/>
                <w:sz w:val="18"/>
                <w:szCs w:val="18"/>
              </w:rPr>
              <w:t xml:space="preserve">de services faits </w:t>
            </w:r>
            <w:r w:rsidRPr="00696E19">
              <w:rPr>
                <w:rFonts w:cs="Arial"/>
                <w:sz w:val="18"/>
                <w:szCs w:val="18"/>
              </w:rPr>
              <w:t>à hauteur de 40 000 € HT par certification de dépense ;</w:t>
            </w:r>
          </w:p>
          <w:p w14:paraId="7FB03644" w14:textId="77777777" w:rsidR="000F7ACD" w:rsidRPr="003206D0" w:rsidRDefault="000F7ACD" w:rsidP="00C36CC0">
            <w:pPr>
              <w:spacing w:line="259" w:lineRule="auto"/>
              <w:rPr>
                <w:rFonts w:cs="Arial"/>
                <w:sz w:val="18"/>
                <w:szCs w:val="18"/>
              </w:rPr>
            </w:pPr>
          </w:p>
          <w:p w14:paraId="261EBC07" w14:textId="77777777" w:rsidR="000F7ACD" w:rsidRPr="003206D0" w:rsidRDefault="000F7ACD" w:rsidP="00C36CC0">
            <w:pPr>
              <w:spacing w:line="259" w:lineRule="auto"/>
              <w:rPr>
                <w:rFonts w:cs="Arial"/>
                <w:sz w:val="18"/>
                <w:szCs w:val="18"/>
              </w:rPr>
            </w:pPr>
            <w:r w:rsidRPr="003206D0">
              <w:rPr>
                <w:rFonts w:cs="Arial"/>
                <w:sz w:val="18"/>
                <w:szCs w:val="18"/>
              </w:rPr>
              <w:t>Validation des demandes de paiement à hauteur de 40 000 € HT par demande de paiement ;</w:t>
            </w:r>
          </w:p>
          <w:p w14:paraId="04200C9F" w14:textId="77777777" w:rsidR="000F7ACD" w:rsidRPr="003206D0" w:rsidRDefault="000F7ACD" w:rsidP="00C36CC0">
            <w:pPr>
              <w:spacing w:line="259" w:lineRule="auto"/>
              <w:rPr>
                <w:rFonts w:cs="Arial"/>
                <w:sz w:val="18"/>
                <w:szCs w:val="18"/>
              </w:rPr>
            </w:pPr>
          </w:p>
          <w:p w14:paraId="5C90EC74" w14:textId="77777777" w:rsidR="000F7ACD" w:rsidRPr="003206D0" w:rsidRDefault="000F7ACD" w:rsidP="00C36CC0">
            <w:pPr>
              <w:spacing w:line="259" w:lineRule="auto"/>
              <w:rPr>
                <w:rFonts w:cs="Arial"/>
                <w:sz w:val="18"/>
                <w:szCs w:val="18"/>
              </w:rPr>
            </w:pPr>
            <w:r w:rsidRPr="003206D0">
              <w:rPr>
                <w:rFonts w:cs="Arial"/>
                <w:sz w:val="18"/>
                <w:szCs w:val="18"/>
              </w:rPr>
              <w:t>Demande de comptabilisation de l’ordonnateur au comptable public sans limite de plafond ;</w:t>
            </w:r>
          </w:p>
          <w:p w14:paraId="3ECBFCED" w14:textId="77777777" w:rsidR="000F7ACD" w:rsidRPr="003206D0" w:rsidRDefault="000F7ACD" w:rsidP="00C36CC0">
            <w:pPr>
              <w:spacing w:line="259" w:lineRule="auto"/>
              <w:rPr>
                <w:rFonts w:cs="Arial"/>
                <w:sz w:val="18"/>
                <w:szCs w:val="18"/>
              </w:rPr>
            </w:pPr>
          </w:p>
          <w:p w14:paraId="32B2E152" w14:textId="77777777" w:rsidR="000F7ACD" w:rsidRPr="003206D0" w:rsidRDefault="000F7ACD" w:rsidP="00C36CC0">
            <w:pPr>
              <w:spacing w:line="259" w:lineRule="auto"/>
              <w:rPr>
                <w:rFonts w:cs="Arial"/>
                <w:sz w:val="18"/>
                <w:szCs w:val="18"/>
              </w:rPr>
            </w:pPr>
            <w:r w:rsidRPr="003206D0">
              <w:rPr>
                <w:rFonts w:cs="Arial"/>
                <w:sz w:val="18"/>
                <w:szCs w:val="18"/>
              </w:rPr>
              <w:t>Intégration des marchés publics conclus par UBFC dans le système d’information financier GFC sans limite de plafond ;</w:t>
            </w:r>
          </w:p>
          <w:p w14:paraId="137ADCBC" w14:textId="77777777" w:rsidR="000F7ACD" w:rsidRPr="003206D0" w:rsidRDefault="000F7ACD" w:rsidP="00C36CC0">
            <w:pPr>
              <w:spacing w:line="259" w:lineRule="auto"/>
              <w:rPr>
                <w:rFonts w:cs="Arial"/>
                <w:sz w:val="18"/>
                <w:szCs w:val="18"/>
              </w:rPr>
            </w:pPr>
          </w:p>
          <w:p w14:paraId="6B72D8E2" w14:textId="77777777" w:rsidR="000F7ACD" w:rsidRPr="003206D0" w:rsidRDefault="000F7ACD" w:rsidP="00C36CC0">
            <w:pPr>
              <w:spacing w:line="259" w:lineRule="auto"/>
              <w:rPr>
                <w:rFonts w:cs="Arial"/>
                <w:sz w:val="18"/>
                <w:szCs w:val="18"/>
              </w:rPr>
            </w:pPr>
            <w:r w:rsidRPr="003206D0">
              <w:rPr>
                <w:rFonts w:cs="Arial"/>
                <w:sz w:val="18"/>
                <w:szCs w:val="18"/>
              </w:rPr>
              <w:t>Validation des titres de recette sans limite de plafond.</w:t>
            </w:r>
          </w:p>
          <w:p w14:paraId="2FF745F9" w14:textId="77777777" w:rsidR="000F7ACD" w:rsidRPr="002969A4" w:rsidRDefault="000F7ACD" w:rsidP="00C36CC0">
            <w:pPr>
              <w:spacing w:line="259" w:lineRule="auto"/>
              <w:rPr>
                <w:rFonts w:cs="Arial"/>
                <w:sz w:val="16"/>
                <w:szCs w:val="16"/>
              </w:rPr>
            </w:pPr>
          </w:p>
        </w:tc>
      </w:tr>
    </w:tbl>
    <w:p w14:paraId="0D342C55" w14:textId="5D3461F9" w:rsidR="00152F24" w:rsidRPr="00152F24" w:rsidRDefault="00152F24" w:rsidP="00152F24">
      <w:pPr>
        <w:tabs>
          <w:tab w:val="left" w:pos="2130"/>
        </w:tabs>
        <w:rPr>
          <w:b/>
          <w:bCs/>
        </w:rPr>
      </w:pPr>
    </w:p>
    <w:sectPr w:rsidR="00152F24" w:rsidRPr="00152F24" w:rsidSect="00BA73BA">
      <w:pgSz w:w="16838" w:h="11906" w:orient="landscape"/>
      <w:pgMar w:top="1417" w:right="1417" w:bottom="1417" w:left="1417" w:header="708" w:footer="4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4ECB4" w14:textId="77777777" w:rsidR="00BA73BA" w:rsidRDefault="00BA73BA" w:rsidP="00CD45B7">
      <w:pPr>
        <w:spacing w:after="0" w:line="240" w:lineRule="auto"/>
      </w:pPr>
      <w:r>
        <w:separator/>
      </w:r>
    </w:p>
  </w:endnote>
  <w:endnote w:type="continuationSeparator" w:id="0">
    <w:p w14:paraId="2F2E6640" w14:textId="77777777" w:rsidR="00BA73BA" w:rsidRDefault="00BA73BA" w:rsidP="00CD4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t">
    <w:altName w:val="Arial"/>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A686" w14:textId="77777777" w:rsidR="00C31BAB" w:rsidRPr="00B70279" w:rsidRDefault="00C31BAB" w:rsidP="00C31BAB">
    <w:pPr>
      <w:pStyle w:val="Pieddepage"/>
      <w:jc w:val="center"/>
      <w:rPr>
        <w:rFonts w:ascii="Roboto Lt" w:hAnsi="Roboto Lt"/>
        <w:color w:val="808080" w:themeColor="background1" w:themeShade="80"/>
        <w:sz w:val="18"/>
        <w:szCs w:val="18"/>
      </w:rPr>
    </w:pPr>
    <w:r>
      <w:rPr>
        <w:rFonts w:ascii="Roboto Lt" w:hAnsi="Roboto Lt"/>
        <w:noProof/>
        <w:color w:val="808080" w:themeColor="background1" w:themeShade="80"/>
        <w:sz w:val="18"/>
        <w:szCs w:val="18"/>
        <w:lang w:eastAsia="fr-FR"/>
      </w:rPr>
      <mc:AlternateContent>
        <mc:Choice Requires="wps">
          <w:drawing>
            <wp:anchor distT="0" distB="0" distL="114300" distR="114300" simplePos="0" relativeHeight="251666432" behindDoc="0" locked="0" layoutInCell="1" allowOverlap="1" wp14:anchorId="18837BC1" wp14:editId="072F5FD4">
              <wp:simplePos x="0" y="0"/>
              <wp:positionH relativeFrom="column">
                <wp:posOffset>5643880</wp:posOffset>
              </wp:positionH>
              <wp:positionV relativeFrom="paragraph">
                <wp:posOffset>-26670</wp:posOffset>
              </wp:positionV>
              <wp:extent cx="771525" cy="323850"/>
              <wp:effectExtent l="0" t="0" r="9525" b="0"/>
              <wp:wrapNone/>
              <wp:docPr id="129" name="Zone de texte 129"/>
              <wp:cNvGraphicFramePr/>
              <a:graphic xmlns:a="http://schemas.openxmlformats.org/drawingml/2006/main">
                <a:graphicData uri="http://schemas.microsoft.com/office/word/2010/wordprocessingShape">
                  <wps:wsp>
                    <wps:cNvSpPr txBox="1"/>
                    <wps:spPr>
                      <a:xfrm>
                        <a:off x="0" y="0"/>
                        <a:ext cx="771525" cy="323850"/>
                      </a:xfrm>
                      <a:prstGeom prst="rect">
                        <a:avLst/>
                      </a:prstGeom>
                      <a:solidFill>
                        <a:schemeClr val="lt1"/>
                      </a:solidFill>
                      <a:ln w="6350">
                        <a:noFill/>
                      </a:ln>
                    </wps:spPr>
                    <wps:txbx>
                      <w:txbxContent>
                        <w:p w14:paraId="0F60B748" w14:textId="0EC0F8C5" w:rsidR="00C31BAB" w:rsidRPr="00176E0B" w:rsidRDefault="00C31BAB" w:rsidP="00C31BAB">
                          <w:pPr>
                            <w:jc w:val="right"/>
                            <w:rPr>
                              <w:rFonts w:ascii="Roboto Lt" w:hAnsi="Roboto Lt"/>
                              <w:color w:val="808080" w:themeColor="background1" w:themeShade="80"/>
                              <w:sz w:val="20"/>
                              <w:szCs w:val="20"/>
                            </w:rPr>
                          </w:pP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PAGE  \* Arabic  \* MERGEFORMAT</w:instrText>
                          </w:r>
                          <w:r w:rsidRPr="00176E0B">
                            <w:rPr>
                              <w:rFonts w:ascii="Roboto Lt" w:hAnsi="Roboto Lt"/>
                              <w:bCs/>
                              <w:color w:val="808080" w:themeColor="background1" w:themeShade="80"/>
                              <w:sz w:val="20"/>
                              <w:szCs w:val="20"/>
                            </w:rPr>
                            <w:fldChar w:fldCharType="separate"/>
                          </w:r>
                          <w:r w:rsidR="00F25290">
                            <w:rPr>
                              <w:rFonts w:ascii="Roboto Lt" w:hAnsi="Roboto Lt"/>
                              <w:bCs/>
                              <w:noProof/>
                              <w:color w:val="808080" w:themeColor="background1" w:themeShade="80"/>
                              <w:sz w:val="20"/>
                              <w:szCs w:val="20"/>
                            </w:rPr>
                            <w:t>4</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 </w:t>
                          </w: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NUMPAGES  \* Arabic  \* MERGEFORMAT</w:instrText>
                          </w:r>
                          <w:r w:rsidRPr="00176E0B">
                            <w:rPr>
                              <w:rFonts w:ascii="Roboto Lt" w:hAnsi="Roboto Lt"/>
                              <w:bCs/>
                              <w:color w:val="808080" w:themeColor="background1" w:themeShade="80"/>
                              <w:sz w:val="20"/>
                              <w:szCs w:val="20"/>
                            </w:rPr>
                            <w:fldChar w:fldCharType="separate"/>
                          </w:r>
                          <w:r w:rsidR="00F25290">
                            <w:rPr>
                              <w:rFonts w:ascii="Roboto Lt" w:hAnsi="Roboto Lt"/>
                              <w:bCs/>
                              <w:noProof/>
                              <w:color w:val="808080" w:themeColor="background1" w:themeShade="80"/>
                              <w:sz w:val="20"/>
                              <w:szCs w:val="20"/>
                            </w:rPr>
                            <w:t>5</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837BC1" id="_x0000_t202" coordsize="21600,21600" o:spt="202" path="m,l,21600r21600,l21600,xe">
              <v:stroke joinstyle="miter"/>
              <v:path gradientshapeok="t" o:connecttype="rect"/>
            </v:shapetype>
            <v:shape id="Zone de texte 129" o:spid="_x0000_s1027" type="#_x0000_t202" style="position:absolute;left:0;text-align:left;margin-left:444.4pt;margin-top:-2.1pt;width:60.75pt;height:25.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" fillcolor="white [3201]" stroked="f" strokeweight=".5pt">
              <v:textbox>
                <w:txbxContent>
                  <w:p w14:paraId="0F60B748" w14:textId="0EC0F8C5" w:rsidR="00C31BAB" w:rsidRPr="00176E0B" w:rsidRDefault="00C31BAB" w:rsidP="00C31BAB">
                    <w:pPr>
                      <w:jc w:val="right"/>
                      <w:rPr>
                        <w:rFonts w:ascii="Roboto Lt" w:hAnsi="Roboto Lt"/>
                        <w:color w:val="808080" w:themeColor="background1" w:themeShade="80"/>
                        <w:sz w:val="20"/>
                        <w:szCs w:val="20"/>
                      </w:rPr>
                    </w:pP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PAGE  \* Arabic  \* MERGEFORMAT</w:instrText>
                    </w:r>
                    <w:r w:rsidRPr="00176E0B">
                      <w:rPr>
                        <w:rFonts w:ascii="Roboto Lt" w:hAnsi="Roboto Lt"/>
                        <w:bCs/>
                        <w:color w:val="808080" w:themeColor="background1" w:themeShade="80"/>
                        <w:sz w:val="20"/>
                        <w:szCs w:val="20"/>
                      </w:rPr>
                      <w:fldChar w:fldCharType="separate"/>
                    </w:r>
                    <w:r w:rsidR="00F25290">
                      <w:rPr>
                        <w:rFonts w:ascii="Roboto Lt" w:hAnsi="Roboto Lt"/>
                        <w:bCs/>
                        <w:noProof/>
                        <w:color w:val="808080" w:themeColor="background1" w:themeShade="80"/>
                        <w:sz w:val="20"/>
                        <w:szCs w:val="20"/>
                      </w:rPr>
                      <w:t>4</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 </w:t>
                    </w:r>
                    <w:r w:rsidRPr="00176E0B">
                      <w:rPr>
                        <w:rFonts w:ascii="Roboto Lt" w:hAnsi="Roboto Lt"/>
                        <w:bCs/>
                        <w:color w:val="808080" w:themeColor="background1" w:themeShade="80"/>
                        <w:sz w:val="20"/>
                        <w:szCs w:val="20"/>
                      </w:rPr>
                      <w:fldChar w:fldCharType="begin"/>
                    </w:r>
                    <w:r w:rsidRPr="00176E0B">
                      <w:rPr>
                        <w:rFonts w:ascii="Roboto Lt" w:hAnsi="Roboto Lt"/>
                        <w:bCs/>
                        <w:color w:val="808080" w:themeColor="background1" w:themeShade="80"/>
                        <w:sz w:val="20"/>
                        <w:szCs w:val="20"/>
                      </w:rPr>
                      <w:instrText>NUMPAGES  \* Arabic  \* MERGEFORMAT</w:instrText>
                    </w:r>
                    <w:r w:rsidRPr="00176E0B">
                      <w:rPr>
                        <w:rFonts w:ascii="Roboto Lt" w:hAnsi="Roboto Lt"/>
                        <w:bCs/>
                        <w:color w:val="808080" w:themeColor="background1" w:themeShade="80"/>
                        <w:sz w:val="20"/>
                        <w:szCs w:val="20"/>
                      </w:rPr>
                      <w:fldChar w:fldCharType="separate"/>
                    </w:r>
                    <w:r w:rsidR="00F25290">
                      <w:rPr>
                        <w:rFonts w:ascii="Roboto Lt" w:hAnsi="Roboto Lt"/>
                        <w:bCs/>
                        <w:noProof/>
                        <w:color w:val="808080" w:themeColor="background1" w:themeShade="80"/>
                        <w:sz w:val="20"/>
                        <w:szCs w:val="20"/>
                      </w:rPr>
                      <w:t>5</w:t>
                    </w:r>
                    <w:r w:rsidRPr="00176E0B">
                      <w:rPr>
                        <w:rFonts w:ascii="Roboto Lt" w:hAnsi="Roboto Lt"/>
                        <w:bCs/>
                        <w:color w:val="808080" w:themeColor="background1" w:themeShade="80"/>
                        <w:sz w:val="20"/>
                        <w:szCs w:val="20"/>
                      </w:rPr>
                      <w:fldChar w:fldCharType="end"/>
                    </w:r>
                    <w:r w:rsidRPr="00176E0B">
                      <w:rPr>
                        <w:rFonts w:ascii="Roboto Lt" w:hAnsi="Roboto Lt"/>
                        <w:color w:val="808080" w:themeColor="background1" w:themeShade="80"/>
                        <w:sz w:val="20"/>
                        <w:szCs w:val="20"/>
                      </w:rPr>
                      <w:t xml:space="preserve"> </w:t>
                    </w:r>
                  </w:p>
                </w:txbxContent>
              </v:textbox>
            </v:shape>
          </w:pict>
        </mc:Fallback>
      </mc:AlternateContent>
    </w:r>
    <w:r w:rsidRPr="00B70279">
      <w:rPr>
        <w:rFonts w:ascii="Roboto Lt" w:hAnsi="Roboto Lt"/>
        <w:noProof/>
        <w:color w:val="808080" w:themeColor="background1" w:themeShade="80"/>
        <w:sz w:val="18"/>
        <w:szCs w:val="18"/>
        <w:lang w:eastAsia="fr-FR"/>
      </w:rPr>
      <mc:AlternateContent>
        <mc:Choice Requires="wps">
          <w:drawing>
            <wp:anchor distT="0" distB="0" distL="114300" distR="114300" simplePos="0" relativeHeight="251665408" behindDoc="0" locked="0" layoutInCell="1" allowOverlap="1" wp14:anchorId="3F7BEAC8" wp14:editId="0FEADF4A">
              <wp:simplePos x="0" y="0"/>
              <wp:positionH relativeFrom="page">
                <wp:align>center</wp:align>
              </wp:positionH>
              <wp:positionV relativeFrom="paragraph">
                <wp:posOffset>-100330</wp:posOffset>
              </wp:positionV>
              <wp:extent cx="710565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710565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56143E4D" id="Connecteur droit 5" o:spid="_x0000_s1026" style="position:absolute;z-index:251665408;visibility:visible;mso-wrap-style:square;mso-wrap-distance-left:9pt;mso-wrap-distance-top:0;mso-wrap-distance-right:9pt;mso-wrap-distance-bottom:0;mso-position-horizontal:center;mso-position-horizontal-relative:page;mso-position-vertical:absolute;mso-position-vertical-relative:text" from="0,-7.9pt" to="559.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" strokecolor="#a5a5a5 [2092]" strokeweight=".5pt">
              <v:stroke joinstyle="miter"/>
              <w10:wrap anchorx="page"/>
            </v:line>
          </w:pict>
        </mc:Fallback>
      </mc:AlternateContent>
    </w:r>
    <w:r w:rsidRPr="00B70279">
      <w:rPr>
        <w:rFonts w:ascii="Roboto Lt" w:hAnsi="Roboto Lt"/>
        <w:color w:val="808080" w:themeColor="background1" w:themeShade="80"/>
        <w:sz w:val="18"/>
        <w:szCs w:val="18"/>
      </w:rPr>
      <w:t>Université Bourgogne Franche-Comté – 32 avenue de l’Observatoire – 25 000 BESANCON</w:t>
    </w:r>
  </w:p>
  <w:p w14:paraId="03E31FE6" w14:textId="77777777" w:rsidR="00CD45B7" w:rsidRPr="00C31BAB" w:rsidRDefault="00C31BAB" w:rsidP="00C31BAB">
    <w:pPr>
      <w:pStyle w:val="Pieddepage"/>
      <w:jc w:val="center"/>
      <w:rPr>
        <w:rFonts w:ascii="Roboto Lt" w:hAnsi="Roboto Lt"/>
        <w:color w:val="808080" w:themeColor="background1" w:themeShade="80"/>
        <w:sz w:val="18"/>
        <w:szCs w:val="18"/>
      </w:rPr>
    </w:pPr>
    <w:r w:rsidRPr="00B70279">
      <w:rPr>
        <w:rFonts w:ascii="Roboto Lt" w:hAnsi="Roboto Lt"/>
        <w:color w:val="808080" w:themeColor="background1" w:themeShade="80"/>
        <w:sz w:val="18"/>
        <w:szCs w:val="18"/>
      </w:rPr>
      <w:t xml:space="preserve">Tél. : 03 63 08 26 50 – </w:t>
    </w:r>
    <w:hyperlink r:id="rId1" w:history="1">
      <w:r w:rsidRPr="00B70279">
        <w:rPr>
          <w:rStyle w:val="Lienhypertexte"/>
          <w:rFonts w:ascii="Roboto Lt" w:hAnsi="Roboto Lt"/>
          <w:color w:val="808080" w:themeColor="background1" w:themeShade="80"/>
          <w:sz w:val="18"/>
          <w:szCs w:val="18"/>
        </w:rPr>
        <w:t>secretariat@ubfc.fr</w:t>
      </w:r>
    </w:hyperlink>
    <w:r w:rsidRPr="00B70279">
      <w:rPr>
        <w:rFonts w:ascii="Roboto Lt" w:hAnsi="Roboto Lt"/>
        <w:color w:val="808080" w:themeColor="background1" w:themeShade="80"/>
        <w:sz w:val="18"/>
        <w:szCs w:val="18"/>
      </w:rPr>
      <w:t xml:space="preserve"> – www.ubfc.fr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8E964" w14:textId="77777777" w:rsidR="00BA73BA" w:rsidRDefault="00BA73BA" w:rsidP="00CD45B7">
      <w:pPr>
        <w:spacing w:after="0" w:line="240" w:lineRule="auto"/>
      </w:pPr>
      <w:r>
        <w:separator/>
      </w:r>
    </w:p>
  </w:footnote>
  <w:footnote w:type="continuationSeparator" w:id="0">
    <w:p w14:paraId="0F0BC4D9" w14:textId="77777777" w:rsidR="00BA73BA" w:rsidRDefault="00BA73BA" w:rsidP="00CD45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CB79F" w14:textId="024B0931" w:rsidR="00CD45B7" w:rsidRDefault="00C31BAB">
    <w:pPr>
      <w:pStyle w:val="En-tte"/>
    </w:pPr>
    <w:r>
      <w:rPr>
        <w:noProof/>
        <w:lang w:eastAsia="fr-FR"/>
      </w:rPr>
      <mc:AlternateContent>
        <mc:Choice Requires="wps">
          <w:drawing>
            <wp:anchor distT="0" distB="0" distL="114300" distR="114300" simplePos="0" relativeHeight="251663360" behindDoc="0" locked="0" layoutInCell="1" allowOverlap="1" wp14:anchorId="22A4A4BE" wp14:editId="2150DB53">
              <wp:simplePos x="0" y="0"/>
              <wp:positionH relativeFrom="margin">
                <wp:posOffset>3176905</wp:posOffset>
              </wp:positionH>
              <wp:positionV relativeFrom="paragraph">
                <wp:posOffset>102870</wp:posOffset>
              </wp:positionV>
              <wp:extent cx="3276600" cy="56197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3276600" cy="561975"/>
                      </a:xfrm>
                      <a:prstGeom prst="rect">
                        <a:avLst/>
                      </a:prstGeom>
                      <a:solidFill>
                        <a:schemeClr val="lt1">
                          <a:alpha val="0"/>
                        </a:schemeClr>
                      </a:solidFill>
                      <a:ln w="6350">
                        <a:noFill/>
                      </a:ln>
                    </wps:spPr>
                    <wps:txbx>
                      <w:txbxContent>
                        <w:p w14:paraId="4084CB30" w14:textId="119CE435" w:rsidR="00C31BAB" w:rsidRPr="00C31BAB" w:rsidRDefault="00C31BAB" w:rsidP="00C31BAB">
                          <w:pPr>
                            <w:jc w:val="right"/>
                            <w:rPr>
                              <w:rFonts w:ascii="Roboto" w:hAnsi="Roboto"/>
                              <w:b/>
                              <w:color w:val="7F7F7F" w:themeColor="text1" w:themeTint="80"/>
                              <w:sz w:val="52"/>
                              <w:szCs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A4A4BE" id="_x0000_t202" coordsize="21600,21600" o:spt="202" path="m,l,21600r21600,l21600,xe">
              <v:stroke joinstyle="miter"/>
              <v:path gradientshapeok="t" o:connecttype="rect"/>
            </v:shapetype>
            <v:shape id="Zone de texte 2" o:spid="_x0000_s1026" type="#_x0000_t202" style="position:absolute;margin-left:250.15pt;margin-top:8.1pt;width:258pt;height:44.2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" fillcolor="white [3201]" stroked="f" strokeweight=".5pt">
              <v:fill opacity="0"/>
              <v:textbox>
                <w:txbxContent>
                  <w:p w14:paraId="4084CB30" w14:textId="119CE435" w:rsidR="00C31BAB" w:rsidRPr="00C31BAB" w:rsidRDefault="00C31BAB" w:rsidP="00C31BAB">
                    <w:pPr>
                      <w:jc w:val="right"/>
                      <w:rPr>
                        <w:rFonts w:ascii="Roboto" w:hAnsi="Roboto"/>
                        <w:b/>
                        <w:color w:val="7F7F7F" w:themeColor="text1" w:themeTint="80"/>
                        <w:sz w:val="52"/>
                        <w:szCs w:val="52"/>
                      </w:rPr>
                    </w:pPr>
                  </w:p>
                </w:txbxContent>
              </v:textbox>
              <w10:wrap anchorx="margin"/>
            </v:shape>
          </w:pict>
        </mc:Fallback>
      </mc:AlternateContent>
    </w:r>
    <w:r>
      <w:rPr>
        <w:noProof/>
        <w:lang w:eastAsia="fr-FR"/>
      </w:rPr>
      <w:drawing>
        <wp:anchor distT="0" distB="0" distL="114300" distR="114300" simplePos="0" relativeHeight="251661312" behindDoc="0" locked="0" layoutInCell="1" allowOverlap="1" wp14:anchorId="595D26B0" wp14:editId="13AC4531">
          <wp:simplePos x="0" y="0"/>
          <wp:positionH relativeFrom="column">
            <wp:posOffset>-728345</wp:posOffset>
          </wp:positionH>
          <wp:positionV relativeFrom="paragraph">
            <wp:posOffset>-259080</wp:posOffset>
          </wp:positionV>
          <wp:extent cx="7133590" cy="390525"/>
          <wp:effectExtent l="0" t="0" r="0" b="9525"/>
          <wp:wrapNone/>
          <wp:docPr id="834023680" name="Image 834023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_courbes_colorées_communiquédepresse-01-01.jpg"/>
                  <pic:cNvPicPr/>
                </pic:nvPicPr>
                <pic:blipFill rotWithShape="1">
                  <a:blip r:embed="rId1">
                    <a:extLst>
                      <a:ext uri="{28A0092B-C50C-407E-A947-70E740481C1C}">
                        <a14:useLocalDpi xmlns:a14="http://schemas.microsoft.com/office/drawing/2010/main" val="0"/>
                      </a:ext>
                    </a:extLst>
                  </a:blip>
                  <a:srcRect t="30653" b="28805"/>
                  <a:stretch/>
                </pic:blipFill>
                <pic:spPr bwMode="auto">
                  <a:xfrm>
                    <a:off x="0" y="0"/>
                    <a:ext cx="7133590"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759D"/>
    <w:multiLevelType w:val="hybridMultilevel"/>
    <w:tmpl w:val="9B4068E6"/>
    <w:lvl w:ilvl="0" w:tplc="5DECAE6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49451E"/>
    <w:multiLevelType w:val="hybridMultilevel"/>
    <w:tmpl w:val="AA7AB634"/>
    <w:lvl w:ilvl="0" w:tplc="5DECAE6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9F0C76"/>
    <w:multiLevelType w:val="hybridMultilevel"/>
    <w:tmpl w:val="C142A51A"/>
    <w:lvl w:ilvl="0" w:tplc="62DAB93C">
      <w:start w:val="6"/>
      <w:numFmt w:val="bullet"/>
      <w:lvlText w:val="-"/>
      <w:lvlJc w:val="left"/>
      <w:pPr>
        <w:ind w:left="720" w:hanging="360"/>
      </w:pPr>
      <w:rPr>
        <w:rFonts w:ascii="Verdana" w:eastAsiaTheme="minorHAnsi" w:hAnsi="Verdana" w:cs="Verdana,Bold"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20EE0789"/>
    <w:multiLevelType w:val="hybridMultilevel"/>
    <w:tmpl w:val="0722F5F0"/>
    <w:lvl w:ilvl="0" w:tplc="D0ECA9DC">
      <w:start w:val="1"/>
      <w:numFmt w:val="bullet"/>
      <w:lvlText w:val="-"/>
      <w:lvlJc w:val="left"/>
      <w:pPr>
        <w:ind w:left="720" w:hanging="360"/>
      </w:pPr>
      <w:rPr>
        <w:rFonts w:ascii="Verdana" w:eastAsiaTheme="minorHAnsi" w:hAnsi="Verdana" w:cs="Verdana"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5583EAC"/>
    <w:multiLevelType w:val="multilevel"/>
    <w:tmpl w:val="0768A2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3649E"/>
    <w:multiLevelType w:val="hybridMultilevel"/>
    <w:tmpl w:val="C09EDE4A"/>
    <w:lvl w:ilvl="0" w:tplc="5DECAE6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B3643B4"/>
    <w:multiLevelType w:val="hybridMultilevel"/>
    <w:tmpl w:val="283CFA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1A01DCF"/>
    <w:multiLevelType w:val="hybridMultilevel"/>
    <w:tmpl w:val="717C3012"/>
    <w:lvl w:ilvl="0" w:tplc="899EF248">
      <w:start w:val="5"/>
      <w:numFmt w:val="bullet"/>
      <w:lvlText w:val="-"/>
      <w:lvlJc w:val="left"/>
      <w:pPr>
        <w:ind w:left="720" w:hanging="360"/>
      </w:pPr>
      <w:rPr>
        <w:rFonts w:ascii="Verdana" w:eastAsiaTheme="minorHAnsi" w:hAnsi="Verdan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79413F"/>
    <w:multiLevelType w:val="hybridMultilevel"/>
    <w:tmpl w:val="85A0E3B2"/>
    <w:lvl w:ilvl="0" w:tplc="1F7E84C2">
      <w:start w:val="8"/>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9A3449"/>
    <w:multiLevelType w:val="hybridMultilevel"/>
    <w:tmpl w:val="2D160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F6723E"/>
    <w:multiLevelType w:val="hybridMultilevel"/>
    <w:tmpl w:val="9732F758"/>
    <w:lvl w:ilvl="0" w:tplc="040C0001">
      <w:start w:val="1"/>
      <w:numFmt w:val="bullet"/>
      <w:lvlText w:val=""/>
      <w:lvlJc w:val="left"/>
      <w:pPr>
        <w:ind w:left="720" w:hanging="360"/>
      </w:pPr>
      <w:rPr>
        <w:rFonts w:ascii="Symbol" w:hAnsi="Symbol" w:hint="default"/>
      </w:rPr>
    </w:lvl>
    <w:lvl w:ilvl="1" w:tplc="6C4ADFBC">
      <w:numFmt w:val="bullet"/>
      <w:lvlText w:val="-"/>
      <w:lvlJc w:val="left"/>
      <w:pPr>
        <w:ind w:left="1440" w:hanging="360"/>
      </w:pPr>
      <w:rPr>
        <w:rFonts w:ascii="Verdana" w:eastAsiaTheme="minorHAnsi" w:hAnsi="Verdana" w:cs="Arial" w:hint="default"/>
        <w:sz w:val="20"/>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21528724">
    <w:abstractNumId w:val="7"/>
  </w:num>
  <w:num w:numId="2" w16cid:durableId="830288589">
    <w:abstractNumId w:val="6"/>
  </w:num>
  <w:num w:numId="3" w16cid:durableId="407192303">
    <w:abstractNumId w:val="3"/>
  </w:num>
  <w:num w:numId="4" w16cid:durableId="364335514">
    <w:abstractNumId w:val="4"/>
  </w:num>
  <w:num w:numId="5" w16cid:durableId="765349752">
    <w:abstractNumId w:val="9"/>
  </w:num>
  <w:num w:numId="6" w16cid:durableId="299194402">
    <w:abstractNumId w:val="8"/>
  </w:num>
  <w:num w:numId="7" w16cid:durableId="714817182">
    <w:abstractNumId w:val="10"/>
  </w:num>
  <w:num w:numId="8" w16cid:durableId="1581712938">
    <w:abstractNumId w:val="0"/>
  </w:num>
  <w:num w:numId="9" w16cid:durableId="217324349">
    <w:abstractNumId w:val="5"/>
  </w:num>
  <w:num w:numId="10" w16cid:durableId="732044741">
    <w:abstractNumId w:val="1"/>
  </w:num>
  <w:num w:numId="11" w16cid:durableId="1078206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5B7"/>
    <w:rsid w:val="00037E99"/>
    <w:rsid w:val="0004460E"/>
    <w:rsid w:val="000F7ACD"/>
    <w:rsid w:val="001032D3"/>
    <w:rsid w:val="001436C3"/>
    <w:rsid w:val="00152F24"/>
    <w:rsid w:val="00255493"/>
    <w:rsid w:val="002578DF"/>
    <w:rsid w:val="00302FFF"/>
    <w:rsid w:val="00307EB9"/>
    <w:rsid w:val="00340FA6"/>
    <w:rsid w:val="003A7857"/>
    <w:rsid w:val="003B1270"/>
    <w:rsid w:val="003B58A4"/>
    <w:rsid w:val="003B7B83"/>
    <w:rsid w:val="00497190"/>
    <w:rsid w:val="00595DF9"/>
    <w:rsid w:val="005B2A18"/>
    <w:rsid w:val="005C44CC"/>
    <w:rsid w:val="00610158"/>
    <w:rsid w:val="00612CDC"/>
    <w:rsid w:val="0064792C"/>
    <w:rsid w:val="00696E19"/>
    <w:rsid w:val="006975EB"/>
    <w:rsid w:val="006E3F65"/>
    <w:rsid w:val="0075560C"/>
    <w:rsid w:val="00775B64"/>
    <w:rsid w:val="00795B30"/>
    <w:rsid w:val="007A37C5"/>
    <w:rsid w:val="007D53F7"/>
    <w:rsid w:val="0080409B"/>
    <w:rsid w:val="00807036"/>
    <w:rsid w:val="0082156A"/>
    <w:rsid w:val="008508F4"/>
    <w:rsid w:val="00852913"/>
    <w:rsid w:val="008D5221"/>
    <w:rsid w:val="00996DDA"/>
    <w:rsid w:val="00A052DE"/>
    <w:rsid w:val="00B215F3"/>
    <w:rsid w:val="00B3687E"/>
    <w:rsid w:val="00B67D4C"/>
    <w:rsid w:val="00B716BA"/>
    <w:rsid w:val="00B9357E"/>
    <w:rsid w:val="00BA73BA"/>
    <w:rsid w:val="00C31BAB"/>
    <w:rsid w:val="00C6754C"/>
    <w:rsid w:val="00C72CEB"/>
    <w:rsid w:val="00CD45B7"/>
    <w:rsid w:val="00CD4711"/>
    <w:rsid w:val="00D15802"/>
    <w:rsid w:val="00D41389"/>
    <w:rsid w:val="00D606A7"/>
    <w:rsid w:val="00D65561"/>
    <w:rsid w:val="00D8452D"/>
    <w:rsid w:val="00D90054"/>
    <w:rsid w:val="00DC4102"/>
    <w:rsid w:val="00E1724F"/>
    <w:rsid w:val="00E9484C"/>
    <w:rsid w:val="00EA75FD"/>
    <w:rsid w:val="00ED2EF4"/>
    <w:rsid w:val="00EF274A"/>
    <w:rsid w:val="00F252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1811D3"/>
  <w15:chartTrackingRefBased/>
  <w15:docId w15:val="{9661E4E5-61B7-474B-A21C-ED60E11CD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60E"/>
    <w:rPr>
      <w:rFonts w:ascii="Verdana" w:hAnsi="Verdana"/>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D45B7"/>
    <w:pPr>
      <w:tabs>
        <w:tab w:val="center" w:pos="4536"/>
        <w:tab w:val="right" w:pos="9072"/>
      </w:tabs>
      <w:spacing w:after="0" w:line="240" w:lineRule="auto"/>
    </w:pPr>
  </w:style>
  <w:style w:type="character" w:customStyle="1" w:styleId="En-tteCar">
    <w:name w:val="En-tête Car"/>
    <w:basedOn w:val="Policepardfaut"/>
    <w:link w:val="En-tte"/>
    <w:uiPriority w:val="99"/>
    <w:rsid w:val="00CD45B7"/>
  </w:style>
  <w:style w:type="paragraph" w:styleId="Pieddepage">
    <w:name w:val="footer"/>
    <w:basedOn w:val="Normal"/>
    <w:link w:val="PieddepageCar"/>
    <w:uiPriority w:val="99"/>
    <w:unhideWhenUsed/>
    <w:rsid w:val="00CD45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45B7"/>
  </w:style>
  <w:style w:type="paragraph" w:styleId="Paragraphedeliste">
    <w:name w:val="List Paragraph"/>
    <w:basedOn w:val="Normal"/>
    <w:uiPriority w:val="34"/>
    <w:qFormat/>
    <w:rsid w:val="00CD45B7"/>
    <w:pPr>
      <w:ind w:left="720"/>
      <w:contextualSpacing/>
    </w:pPr>
  </w:style>
  <w:style w:type="paragraph" w:styleId="Textedebulles">
    <w:name w:val="Balloon Text"/>
    <w:basedOn w:val="Normal"/>
    <w:link w:val="TextedebullesCar"/>
    <w:uiPriority w:val="99"/>
    <w:semiHidden/>
    <w:unhideWhenUsed/>
    <w:rsid w:val="00E9484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484C"/>
    <w:rPr>
      <w:rFonts w:ascii="Segoe UI" w:hAnsi="Segoe UI" w:cs="Segoe UI"/>
      <w:sz w:val="18"/>
      <w:szCs w:val="18"/>
    </w:rPr>
  </w:style>
  <w:style w:type="character" w:styleId="Lienhypertexte">
    <w:name w:val="Hyperlink"/>
    <w:basedOn w:val="Policepardfaut"/>
    <w:uiPriority w:val="99"/>
    <w:unhideWhenUsed/>
    <w:rsid w:val="00C31BAB"/>
    <w:rPr>
      <w:color w:val="0563C1" w:themeColor="hyperlink"/>
      <w:u w:val="single"/>
    </w:rPr>
  </w:style>
  <w:style w:type="character" w:customStyle="1" w:styleId="Mentionnonrsolue1">
    <w:name w:val="Mention non résolue1"/>
    <w:basedOn w:val="Policepardfaut"/>
    <w:uiPriority w:val="99"/>
    <w:semiHidden/>
    <w:unhideWhenUsed/>
    <w:rsid w:val="00255493"/>
    <w:rPr>
      <w:color w:val="605E5C"/>
      <w:shd w:val="clear" w:color="auto" w:fill="E1DFDD"/>
    </w:rPr>
  </w:style>
  <w:style w:type="character" w:customStyle="1" w:styleId="markedcontent">
    <w:name w:val="markedcontent"/>
    <w:basedOn w:val="Policepardfaut"/>
    <w:rsid w:val="007A37C5"/>
  </w:style>
  <w:style w:type="paragraph" w:styleId="Sansinterligne">
    <w:name w:val="No Spacing"/>
    <w:uiPriority w:val="1"/>
    <w:qFormat/>
    <w:rsid w:val="0004460E"/>
    <w:pPr>
      <w:spacing w:after="0" w:line="240" w:lineRule="auto"/>
    </w:pPr>
  </w:style>
  <w:style w:type="table" w:customStyle="1" w:styleId="Grilledutableau1">
    <w:name w:val="Grille du tableau1"/>
    <w:basedOn w:val="TableauNormal"/>
    <w:next w:val="Grilledutableau"/>
    <w:uiPriority w:val="39"/>
    <w:rsid w:val="0059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59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63430">
      <w:bodyDiv w:val="1"/>
      <w:marLeft w:val="0"/>
      <w:marRight w:val="0"/>
      <w:marTop w:val="0"/>
      <w:marBottom w:val="0"/>
      <w:divBdr>
        <w:top w:val="none" w:sz="0" w:space="0" w:color="auto"/>
        <w:left w:val="none" w:sz="0" w:space="0" w:color="auto"/>
        <w:bottom w:val="none" w:sz="0" w:space="0" w:color="auto"/>
        <w:right w:val="none" w:sz="0" w:space="0" w:color="auto"/>
      </w:divBdr>
    </w:div>
    <w:div w:id="733359598">
      <w:bodyDiv w:val="1"/>
      <w:marLeft w:val="0"/>
      <w:marRight w:val="0"/>
      <w:marTop w:val="0"/>
      <w:marBottom w:val="0"/>
      <w:divBdr>
        <w:top w:val="none" w:sz="0" w:space="0" w:color="auto"/>
        <w:left w:val="none" w:sz="0" w:space="0" w:color="auto"/>
        <w:bottom w:val="none" w:sz="0" w:space="0" w:color="auto"/>
        <w:right w:val="none" w:sz="0" w:space="0" w:color="auto"/>
      </w:divBdr>
      <w:divsChild>
        <w:div w:id="450831487">
          <w:marLeft w:val="0"/>
          <w:marRight w:val="0"/>
          <w:marTop w:val="0"/>
          <w:marBottom w:val="0"/>
          <w:divBdr>
            <w:top w:val="none" w:sz="0" w:space="0" w:color="auto"/>
            <w:left w:val="none" w:sz="0" w:space="0" w:color="auto"/>
            <w:bottom w:val="none" w:sz="0" w:space="0" w:color="auto"/>
            <w:right w:val="none" w:sz="0" w:space="0" w:color="auto"/>
          </w:divBdr>
        </w:div>
        <w:div w:id="778137565">
          <w:marLeft w:val="0"/>
          <w:marRight w:val="0"/>
          <w:marTop w:val="0"/>
          <w:marBottom w:val="0"/>
          <w:divBdr>
            <w:top w:val="none" w:sz="0" w:space="0" w:color="auto"/>
            <w:left w:val="none" w:sz="0" w:space="0" w:color="auto"/>
            <w:bottom w:val="none" w:sz="0" w:space="0" w:color="auto"/>
            <w:right w:val="none" w:sz="0" w:space="0" w:color="auto"/>
          </w:divBdr>
        </w:div>
        <w:div w:id="294944173">
          <w:marLeft w:val="0"/>
          <w:marRight w:val="0"/>
          <w:marTop w:val="0"/>
          <w:marBottom w:val="0"/>
          <w:divBdr>
            <w:top w:val="none" w:sz="0" w:space="0" w:color="auto"/>
            <w:left w:val="none" w:sz="0" w:space="0" w:color="auto"/>
            <w:bottom w:val="none" w:sz="0" w:space="0" w:color="auto"/>
            <w:right w:val="none" w:sz="0" w:space="0" w:color="auto"/>
          </w:divBdr>
        </w:div>
        <w:div w:id="1957834352">
          <w:marLeft w:val="0"/>
          <w:marRight w:val="0"/>
          <w:marTop w:val="0"/>
          <w:marBottom w:val="0"/>
          <w:divBdr>
            <w:top w:val="none" w:sz="0" w:space="0" w:color="auto"/>
            <w:left w:val="none" w:sz="0" w:space="0" w:color="auto"/>
            <w:bottom w:val="none" w:sz="0" w:space="0" w:color="auto"/>
            <w:right w:val="none" w:sz="0" w:space="0" w:color="auto"/>
          </w:divBdr>
        </w:div>
        <w:div w:id="154565807">
          <w:marLeft w:val="0"/>
          <w:marRight w:val="0"/>
          <w:marTop w:val="0"/>
          <w:marBottom w:val="0"/>
          <w:divBdr>
            <w:top w:val="none" w:sz="0" w:space="0" w:color="auto"/>
            <w:left w:val="none" w:sz="0" w:space="0" w:color="auto"/>
            <w:bottom w:val="none" w:sz="0" w:space="0" w:color="auto"/>
            <w:right w:val="none" w:sz="0" w:space="0" w:color="auto"/>
          </w:divBdr>
        </w:div>
        <w:div w:id="1668316810">
          <w:marLeft w:val="0"/>
          <w:marRight w:val="0"/>
          <w:marTop w:val="0"/>
          <w:marBottom w:val="0"/>
          <w:divBdr>
            <w:top w:val="none" w:sz="0" w:space="0" w:color="auto"/>
            <w:left w:val="none" w:sz="0" w:space="0" w:color="auto"/>
            <w:bottom w:val="none" w:sz="0" w:space="0" w:color="auto"/>
            <w:right w:val="none" w:sz="0" w:space="0" w:color="auto"/>
          </w:divBdr>
        </w:div>
        <w:div w:id="277764882">
          <w:marLeft w:val="0"/>
          <w:marRight w:val="0"/>
          <w:marTop w:val="0"/>
          <w:marBottom w:val="0"/>
          <w:divBdr>
            <w:top w:val="none" w:sz="0" w:space="0" w:color="auto"/>
            <w:left w:val="none" w:sz="0" w:space="0" w:color="auto"/>
            <w:bottom w:val="none" w:sz="0" w:space="0" w:color="auto"/>
            <w:right w:val="none" w:sz="0" w:space="0" w:color="auto"/>
          </w:divBdr>
        </w:div>
        <w:div w:id="1453207756">
          <w:marLeft w:val="0"/>
          <w:marRight w:val="0"/>
          <w:marTop w:val="0"/>
          <w:marBottom w:val="0"/>
          <w:divBdr>
            <w:top w:val="none" w:sz="0" w:space="0" w:color="auto"/>
            <w:left w:val="none" w:sz="0" w:space="0" w:color="auto"/>
            <w:bottom w:val="none" w:sz="0" w:space="0" w:color="auto"/>
            <w:right w:val="none" w:sz="0" w:space="0" w:color="auto"/>
          </w:divBdr>
        </w:div>
      </w:divsChild>
    </w:div>
    <w:div w:id="133020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secretariat@ubfc.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1603</Words>
  <Characters>8819</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UBFC UBFC</dc:creator>
  <cp:keywords/>
  <dc:description/>
  <cp:lastModifiedBy>Clémence CL. LAVIGNE</cp:lastModifiedBy>
  <cp:revision>4</cp:revision>
  <cp:lastPrinted>2024-03-06T07:36:00Z</cp:lastPrinted>
  <dcterms:created xsi:type="dcterms:W3CDTF">2023-10-09T12:32:00Z</dcterms:created>
  <dcterms:modified xsi:type="dcterms:W3CDTF">2024-03-06T07:45:00Z</dcterms:modified>
</cp:coreProperties>
</file>